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3D4D96" w14:textId="022F74B2" w:rsidR="005A36CE" w:rsidRPr="00951E3B" w:rsidRDefault="005A36CE">
      <w:pPr>
        <w:rPr>
          <w:rFonts w:ascii="Arial" w:hAnsi="Arial" w:cs="Arial"/>
          <w:color w:val="000000" w:themeColor="text1"/>
        </w:rPr>
      </w:pPr>
      <w:r w:rsidRPr="00951E3B">
        <w:rPr>
          <w:rFonts w:ascii="Arial" w:hAnsi="Arial" w:cs="Arial"/>
          <w:color w:val="000000" w:themeColor="text1"/>
        </w:rPr>
        <w:t>Załącznik nr 1.</w:t>
      </w:r>
    </w:p>
    <w:tbl>
      <w:tblPr>
        <w:tblStyle w:val="Tabela-Siatka"/>
        <w:tblW w:w="13745" w:type="dxa"/>
        <w:tblLook w:val="04A0" w:firstRow="1" w:lastRow="0" w:firstColumn="1" w:lastColumn="0" w:noHBand="0" w:noVBand="1"/>
      </w:tblPr>
      <w:tblGrid>
        <w:gridCol w:w="13745"/>
      </w:tblGrid>
      <w:tr w:rsidR="00951E3B" w:rsidRPr="00951E3B" w14:paraId="07F1E669" w14:textId="77777777" w:rsidTr="00511251">
        <w:trPr>
          <w:trHeight w:val="134"/>
        </w:trPr>
        <w:tc>
          <w:tcPr>
            <w:tcW w:w="13745" w:type="dxa"/>
            <w:shd w:val="clear" w:color="auto" w:fill="A6A6A6" w:themeFill="background1" w:themeFillShade="A6"/>
          </w:tcPr>
          <w:p w14:paraId="574833A3" w14:textId="425AE1F3" w:rsidR="00920B05" w:rsidRPr="00951E3B" w:rsidRDefault="005F0F7F" w:rsidP="005A36C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51E3B">
              <w:rPr>
                <w:rFonts w:ascii="Arial" w:hAnsi="Arial" w:cs="Arial"/>
                <w:b/>
                <w:color w:val="000000" w:themeColor="text1"/>
              </w:rPr>
              <w:t>Założenia dla s</w:t>
            </w:r>
            <w:r w:rsidR="00920B05" w:rsidRPr="00951E3B">
              <w:rPr>
                <w:rFonts w:ascii="Arial" w:hAnsi="Arial" w:cs="Arial"/>
                <w:b/>
                <w:color w:val="000000" w:themeColor="text1"/>
              </w:rPr>
              <w:t>ystem</w:t>
            </w:r>
            <w:r w:rsidRPr="00951E3B">
              <w:rPr>
                <w:rFonts w:ascii="Arial" w:hAnsi="Arial" w:cs="Arial"/>
                <w:b/>
                <w:color w:val="000000" w:themeColor="text1"/>
              </w:rPr>
              <w:t>u</w:t>
            </w:r>
            <w:r w:rsidR="00920B05" w:rsidRPr="00951E3B">
              <w:rPr>
                <w:rFonts w:ascii="Arial" w:hAnsi="Arial" w:cs="Arial"/>
                <w:b/>
                <w:color w:val="000000" w:themeColor="text1"/>
              </w:rPr>
              <w:t xml:space="preserve"> wsparcia </w:t>
            </w:r>
            <w:r w:rsidR="00EF3F4C" w:rsidRPr="00951E3B">
              <w:rPr>
                <w:rFonts w:ascii="Arial" w:hAnsi="Arial" w:cs="Arial"/>
                <w:b/>
                <w:color w:val="000000" w:themeColor="text1"/>
              </w:rPr>
              <w:t xml:space="preserve">sektora </w:t>
            </w:r>
            <w:r w:rsidR="00920B05" w:rsidRPr="00951E3B">
              <w:rPr>
                <w:rFonts w:ascii="Arial" w:hAnsi="Arial" w:cs="Arial"/>
                <w:b/>
                <w:color w:val="000000" w:themeColor="text1"/>
              </w:rPr>
              <w:t>górnictwa</w:t>
            </w:r>
            <w:r w:rsidR="00EF3F4C" w:rsidRPr="00951E3B">
              <w:rPr>
                <w:rFonts w:ascii="Arial" w:hAnsi="Arial" w:cs="Arial"/>
                <w:b/>
                <w:color w:val="000000" w:themeColor="text1"/>
              </w:rPr>
              <w:t xml:space="preserve"> węgla kamiennego</w:t>
            </w:r>
            <w:r w:rsidRPr="00951E3B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</w:p>
        </w:tc>
      </w:tr>
      <w:tr w:rsidR="00951E3B" w:rsidRPr="00951E3B" w14:paraId="728F2550" w14:textId="77777777" w:rsidTr="00920B05">
        <w:tc>
          <w:tcPr>
            <w:tcW w:w="13745" w:type="dxa"/>
            <w:shd w:val="clear" w:color="auto" w:fill="FFFFFF" w:themeFill="background1"/>
          </w:tcPr>
          <w:p w14:paraId="7F201C95" w14:textId="6B004F52" w:rsidR="00B07A37" w:rsidRPr="00951E3B" w:rsidRDefault="00B07A37" w:rsidP="00B07A37">
            <w:pPr>
              <w:pStyle w:val="H2"/>
              <w:numPr>
                <w:ilvl w:val="0"/>
                <w:numId w:val="0"/>
              </w:numPr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  <w:p w14:paraId="05EFF8F3" w14:textId="60542E12" w:rsidR="00B07A37" w:rsidRPr="00951E3B" w:rsidRDefault="00B07A37" w:rsidP="005165B9">
            <w:pPr>
              <w:pStyle w:val="H1"/>
              <w:jc w:val="left"/>
              <w:rPr>
                <w:rFonts w:ascii="Arial" w:hAnsi="Arial" w:cs="Arial"/>
                <w:color w:val="000000" w:themeColor="text1"/>
                <w:szCs w:val="22"/>
              </w:rPr>
            </w:pPr>
            <w:r w:rsidRPr="00951E3B">
              <w:rPr>
                <w:rFonts w:ascii="Arial" w:hAnsi="Arial" w:cs="Arial"/>
                <w:color w:val="000000" w:themeColor="text1"/>
                <w:szCs w:val="22"/>
              </w:rPr>
              <w:t>uwagi ogólne</w:t>
            </w:r>
          </w:p>
          <w:p w14:paraId="31A40FDF" w14:textId="1477F157" w:rsidR="001449B5" w:rsidRPr="00951E3B" w:rsidRDefault="00EF3F4C" w:rsidP="00070209">
            <w:pPr>
              <w:pStyle w:val="H2"/>
              <w:rPr>
                <w:rFonts w:ascii="Arial" w:hAnsi="Arial" w:cs="Arial"/>
                <w:color w:val="000000" w:themeColor="text1"/>
                <w:szCs w:val="22"/>
              </w:rPr>
            </w:pPr>
            <w:r w:rsidRPr="00951E3B">
              <w:rPr>
                <w:rFonts w:ascii="Arial" w:hAnsi="Arial" w:cs="Arial"/>
                <w:color w:val="000000" w:themeColor="text1"/>
                <w:szCs w:val="22"/>
              </w:rPr>
              <w:t>N</w:t>
            </w:r>
            <w:r w:rsidR="00920B05" w:rsidRPr="00951E3B">
              <w:rPr>
                <w:rFonts w:ascii="Arial" w:hAnsi="Arial" w:cs="Arial"/>
                <w:color w:val="000000" w:themeColor="text1"/>
                <w:szCs w:val="22"/>
              </w:rPr>
              <w:t xml:space="preserve">owy system wsparcia sektora górnictwa </w:t>
            </w:r>
            <w:r w:rsidRPr="00951E3B">
              <w:rPr>
                <w:rFonts w:ascii="Arial" w:hAnsi="Arial" w:cs="Arial"/>
                <w:color w:val="000000" w:themeColor="text1"/>
                <w:szCs w:val="22"/>
              </w:rPr>
              <w:t xml:space="preserve">węgla kamiennego </w:t>
            </w:r>
            <w:r w:rsidR="00920B05" w:rsidRPr="00951E3B">
              <w:rPr>
                <w:rFonts w:ascii="Arial" w:hAnsi="Arial" w:cs="Arial"/>
                <w:color w:val="000000" w:themeColor="text1"/>
                <w:szCs w:val="22"/>
              </w:rPr>
              <w:t xml:space="preserve">opierać się </w:t>
            </w:r>
            <w:r w:rsidR="00A61C00" w:rsidRPr="00951E3B">
              <w:rPr>
                <w:rFonts w:ascii="Arial" w:hAnsi="Arial" w:cs="Arial"/>
                <w:color w:val="000000" w:themeColor="text1"/>
                <w:szCs w:val="22"/>
              </w:rPr>
              <w:t>będzie</w:t>
            </w:r>
            <w:r w:rsidR="00920B05" w:rsidRPr="00951E3B">
              <w:rPr>
                <w:rFonts w:ascii="Arial" w:hAnsi="Arial" w:cs="Arial"/>
                <w:color w:val="000000" w:themeColor="text1"/>
                <w:szCs w:val="22"/>
              </w:rPr>
              <w:t xml:space="preserve"> </w:t>
            </w:r>
            <w:r w:rsidR="00A61C00" w:rsidRPr="00951E3B">
              <w:rPr>
                <w:rFonts w:ascii="Arial" w:hAnsi="Arial" w:cs="Arial"/>
                <w:color w:val="000000" w:themeColor="text1"/>
                <w:szCs w:val="22"/>
              </w:rPr>
              <w:t>na</w:t>
            </w:r>
            <w:r w:rsidR="00920B05" w:rsidRPr="00951E3B">
              <w:rPr>
                <w:rFonts w:ascii="Arial" w:hAnsi="Arial" w:cs="Arial"/>
                <w:color w:val="000000" w:themeColor="text1"/>
                <w:szCs w:val="22"/>
              </w:rPr>
              <w:t xml:space="preserve"> pokrywani</w:t>
            </w:r>
            <w:r w:rsidR="00A61C00" w:rsidRPr="00951E3B">
              <w:rPr>
                <w:rFonts w:ascii="Arial" w:hAnsi="Arial" w:cs="Arial"/>
                <w:color w:val="000000" w:themeColor="text1"/>
                <w:szCs w:val="22"/>
              </w:rPr>
              <w:t>u</w:t>
            </w:r>
            <w:r w:rsidR="00920B05" w:rsidRPr="00951E3B">
              <w:rPr>
                <w:rFonts w:ascii="Arial" w:hAnsi="Arial" w:cs="Arial"/>
                <w:color w:val="000000" w:themeColor="text1"/>
                <w:szCs w:val="22"/>
              </w:rPr>
              <w:t xml:space="preserve"> kosztów nadzwyczajnych</w:t>
            </w:r>
            <w:r w:rsidR="00BE70A4" w:rsidRPr="00951E3B">
              <w:rPr>
                <w:rFonts w:ascii="Arial" w:hAnsi="Arial" w:cs="Arial"/>
                <w:color w:val="000000" w:themeColor="text1"/>
                <w:szCs w:val="22"/>
              </w:rPr>
              <w:t xml:space="preserve"> związanych z likwidacją jednostek produkcyjnych</w:t>
            </w:r>
            <w:r w:rsidR="00920B05" w:rsidRPr="00951E3B">
              <w:rPr>
                <w:rFonts w:ascii="Arial" w:hAnsi="Arial" w:cs="Arial"/>
                <w:color w:val="000000" w:themeColor="text1"/>
                <w:szCs w:val="22"/>
              </w:rPr>
              <w:t xml:space="preserve"> oraz dopłat</w:t>
            </w:r>
            <w:r w:rsidR="00A61C00" w:rsidRPr="00951E3B">
              <w:rPr>
                <w:rFonts w:ascii="Arial" w:hAnsi="Arial" w:cs="Arial"/>
                <w:color w:val="000000" w:themeColor="text1"/>
                <w:szCs w:val="22"/>
              </w:rPr>
              <w:t>ach</w:t>
            </w:r>
            <w:r w:rsidR="00920B05" w:rsidRPr="00951E3B">
              <w:rPr>
                <w:rFonts w:ascii="Arial" w:hAnsi="Arial" w:cs="Arial"/>
                <w:color w:val="000000" w:themeColor="text1"/>
                <w:szCs w:val="22"/>
              </w:rPr>
              <w:t xml:space="preserve"> do </w:t>
            </w:r>
            <w:r w:rsidR="00BA6221" w:rsidRPr="00951E3B">
              <w:rPr>
                <w:rFonts w:ascii="Arial" w:hAnsi="Arial" w:cs="Arial"/>
                <w:color w:val="000000" w:themeColor="text1"/>
                <w:szCs w:val="22"/>
              </w:rPr>
              <w:t xml:space="preserve">redukcji zdolności </w:t>
            </w:r>
            <w:r w:rsidR="00920B05" w:rsidRPr="00951E3B">
              <w:rPr>
                <w:rFonts w:ascii="Arial" w:hAnsi="Arial" w:cs="Arial"/>
                <w:color w:val="000000" w:themeColor="text1"/>
                <w:szCs w:val="22"/>
              </w:rPr>
              <w:t>produkc</w:t>
            </w:r>
            <w:r w:rsidR="00BA6221" w:rsidRPr="00951E3B">
              <w:rPr>
                <w:rFonts w:ascii="Arial" w:hAnsi="Arial" w:cs="Arial"/>
                <w:color w:val="000000" w:themeColor="text1"/>
                <w:szCs w:val="22"/>
              </w:rPr>
              <w:t>yjnych</w:t>
            </w:r>
            <w:r w:rsidR="00780F84" w:rsidRPr="00951E3B">
              <w:rPr>
                <w:rFonts w:ascii="Arial" w:hAnsi="Arial" w:cs="Arial"/>
                <w:color w:val="000000" w:themeColor="text1"/>
                <w:szCs w:val="22"/>
              </w:rPr>
              <w:t xml:space="preserve"> w całym okresie do zamknięcia tych jednostek</w:t>
            </w:r>
            <w:r w:rsidR="00920B05" w:rsidRPr="00951E3B">
              <w:rPr>
                <w:rFonts w:ascii="Arial" w:hAnsi="Arial" w:cs="Arial"/>
                <w:color w:val="000000" w:themeColor="text1"/>
                <w:szCs w:val="22"/>
              </w:rPr>
              <w:t>.</w:t>
            </w:r>
          </w:p>
          <w:p w14:paraId="25C897F2" w14:textId="54535D22" w:rsidR="001449B5" w:rsidRPr="00951E3B" w:rsidRDefault="001449B5" w:rsidP="00070209">
            <w:pPr>
              <w:pStyle w:val="H2"/>
              <w:rPr>
                <w:rFonts w:ascii="Arial" w:hAnsi="Arial" w:cs="Arial"/>
                <w:color w:val="000000" w:themeColor="text1"/>
                <w:szCs w:val="22"/>
              </w:rPr>
            </w:pPr>
            <w:r w:rsidRPr="00951E3B">
              <w:rPr>
                <w:rFonts w:ascii="Arial" w:hAnsi="Arial" w:cs="Arial"/>
                <w:color w:val="000000" w:themeColor="text1"/>
                <w:szCs w:val="22"/>
              </w:rPr>
              <w:t>Aktualnie obowiązuje system wsparcia dla górnictwa w ramach programu pomocowego SA. 52832(2019/N) zatwierdzonego przez Komisję Europejską na podstawie Decyzji Rady z dnia 10 grudnia 2010 r.</w:t>
            </w:r>
            <w:r w:rsidR="0003370A" w:rsidRPr="00951E3B">
              <w:rPr>
                <w:rFonts w:ascii="Arial" w:hAnsi="Arial" w:cs="Arial"/>
                <w:color w:val="000000" w:themeColor="text1"/>
                <w:szCs w:val="22"/>
              </w:rPr>
              <w:t xml:space="preserve"> („</w:t>
            </w:r>
            <w:r w:rsidR="0003370A" w:rsidRPr="00951E3B">
              <w:rPr>
                <w:rFonts w:ascii="Arial" w:hAnsi="Arial" w:cs="Arial"/>
                <w:b/>
                <w:bCs/>
                <w:color w:val="000000" w:themeColor="text1"/>
                <w:szCs w:val="22"/>
              </w:rPr>
              <w:t>Decyzja Rady</w:t>
            </w:r>
            <w:r w:rsidR="0003370A" w:rsidRPr="00951E3B">
              <w:rPr>
                <w:rFonts w:ascii="Arial" w:hAnsi="Arial" w:cs="Arial"/>
                <w:color w:val="000000" w:themeColor="text1"/>
                <w:szCs w:val="22"/>
              </w:rPr>
              <w:t>”)</w:t>
            </w:r>
            <w:r w:rsidRPr="00951E3B">
              <w:rPr>
                <w:rFonts w:ascii="Arial" w:hAnsi="Arial" w:cs="Arial"/>
                <w:color w:val="000000" w:themeColor="text1"/>
                <w:szCs w:val="22"/>
              </w:rPr>
              <w:t xml:space="preserve"> w sprawie pomocy państwa ułatwiającej zamykanie niekonkurencyjnych kopalń węgla. Beneficjentem pomocy w ramach tego programu jest Spółka Restrukturyzacji Kopalń S.A. („</w:t>
            </w:r>
            <w:r w:rsidRPr="00951E3B">
              <w:rPr>
                <w:rFonts w:ascii="Arial" w:hAnsi="Arial" w:cs="Arial"/>
                <w:b/>
                <w:color w:val="000000" w:themeColor="text1"/>
                <w:szCs w:val="22"/>
              </w:rPr>
              <w:t>SRK</w:t>
            </w:r>
            <w:r w:rsidRPr="00951E3B">
              <w:rPr>
                <w:rFonts w:ascii="Arial" w:hAnsi="Arial" w:cs="Arial"/>
                <w:color w:val="000000" w:themeColor="text1"/>
                <w:szCs w:val="22"/>
              </w:rPr>
              <w:t>”), a pomoc przeznaczana jest na pokrywanie kosztów nadzwyczajnych związanych z likwidacją jednostek produkcyjnych.</w:t>
            </w:r>
          </w:p>
          <w:p w14:paraId="2C653C54" w14:textId="2D4D6AAD" w:rsidR="00B07A37" w:rsidRPr="00951E3B" w:rsidRDefault="00B07A37" w:rsidP="00070209">
            <w:pPr>
              <w:pStyle w:val="H2"/>
              <w:rPr>
                <w:rFonts w:ascii="Arial" w:hAnsi="Arial" w:cs="Arial"/>
                <w:color w:val="000000" w:themeColor="text1"/>
                <w:szCs w:val="22"/>
              </w:rPr>
            </w:pPr>
            <w:r w:rsidRPr="00951E3B">
              <w:rPr>
                <w:rFonts w:ascii="Arial" w:hAnsi="Arial" w:cs="Arial"/>
                <w:color w:val="000000" w:themeColor="text1"/>
                <w:szCs w:val="22"/>
              </w:rPr>
              <w:t xml:space="preserve">Podstawą udzielania wsparcia na pokrycie kosztów nadzwyczajnych (przekazywanego w formie dotacji) jest ustawa </w:t>
            </w:r>
            <w:r w:rsidR="00EF3F4C" w:rsidRPr="00951E3B">
              <w:rPr>
                <w:rFonts w:ascii="Arial" w:hAnsi="Arial" w:cs="Arial"/>
                <w:color w:val="000000" w:themeColor="text1"/>
                <w:szCs w:val="22"/>
              </w:rPr>
              <w:t xml:space="preserve">z dnia 7 września 2007 r. </w:t>
            </w:r>
            <w:r w:rsidRPr="00951E3B">
              <w:rPr>
                <w:rFonts w:ascii="Arial" w:hAnsi="Arial" w:cs="Arial"/>
                <w:color w:val="000000" w:themeColor="text1"/>
                <w:szCs w:val="22"/>
              </w:rPr>
              <w:t xml:space="preserve">o funkcjonowaniu górnictwa węgla kamiennego </w:t>
            </w:r>
            <w:r w:rsidR="00EF3F4C" w:rsidRPr="00951E3B">
              <w:rPr>
                <w:rFonts w:ascii="Arial" w:hAnsi="Arial" w:cs="Arial"/>
                <w:color w:val="000000" w:themeColor="text1"/>
                <w:szCs w:val="22"/>
              </w:rPr>
              <w:t>(„</w:t>
            </w:r>
            <w:r w:rsidR="00EF3F4C" w:rsidRPr="00951E3B">
              <w:rPr>
                <w:rFonts w:ascii="Arial" w:hAnsi="Arial" w:cs="Arial"/>
                <w:b/>
                <w:color w:val="000000" w:themeColor="text1"/>
                <w:szCs w:val="22"/>
              </w:rPr>
              <w:t>Ustawa</w:t>
            </w:r>
            <w:r w:rsidR="00EF3F4C" w:rsidRPr="00951E3B">
              <w:rPr>
                <w:rFonts w:ascii="Arial" w:hAnsi="Arial" w:cs="Arial"/>
                <w:color w:val="000000" w:themeColor="text1"/>
                <w:szCs w:val="22"/>
              </w:rPr>
              <w:t xml:space="preserve">”) </w:t>
            </w:r>
            <w:r w:rsidRPr="00951E3B">
              <w:rPr>
                <w:rFonts w:ascii="Arial" w:hAnsi="Arial" w:cs="Arial"/>
                <w:color w:val="000000" w:themeColor="text1"/>
                <w:szCs w:val="22"/>
              </w:rPr>
              <w:t xml:space="preserve">i akty wykonawcze do tej </w:t>
            </w:r>
            <w:r w:rsidR="0003370A" w:rsidRPr="00951E3B">
              <w:rPr>
                <w:rFonts w:ascii="Arial" w:hAnsi="Arial" w:cs="Arial"/>
                <w:color w:val="000000" w:themeColor="text1"/>
                <w:szCs w:val="22"/>
              </w:rPr>
              <w:t>U</w:t>
            </w:r>
            <w:r w:rsidRPr="00951E3B">
              <w:rPr>
                <w:rFonts w:ascii="Arial" w:hAnsi="Arial" w:cs="Arial"/>
                <w:color w:val="000000" w:themeColor="text1"/>
                <w:szCs w:val="22"/>
              </w:rPr>
              <w:t xml:space="preserve">stawy. Środki, jakie przekazywane są z budżetu państwa w ramach pomocy na pokrycie kosztów nadzwyczajnych na pokrycie kosztów likwidacji oraz działania </w:t>
            </w:r>
            <w:proofErr w:type="spellStart"/>
            <w:r w:rsidRPr="00951E3B">
              <w:rPr>
                <w:rFonts w:ascii="Arial" w:hAnsi="Arial" w:cs="Arial"/>
                <w:color w:val="000000" w:themeColor="text1"/>
                <w:szCs w:val="22"/>
              </w:rPr>
              <w:t>polikwidacyjne</w:t>
            </w:r>
            <w:proofErr w:type="spellEnd"/>
            <w:r w:rsidRPr="00951E3B">
              <w:rPr>
                <w:rFonts w:ascii="Arial" w:hAnsi="Arial" w:cs="Arial"/>
                <w:color w:val="000000" w:themeColor="text1"/>
                <w:szCs w:val="22"/>
              </w:rPr>
              <w:t xml:space="preserve"> związane z jednostkami produkcyjnymi</w:t>
            </w:r>
            <w:r w:rsidR="0003370A" w:rsidRPr="00951E3B">
              <w:rPr>
                <w:rFonts w:ascii="Arial" w:hAnsi="Arial" w:cs="Arial"/>
                <w:color w:val="000000" w:themeColor="text1"/>
                <w:szCs w:val="22"/>
              </w:rPr>
              <w:t>,</w:t>
            </w:r>
            <w:r w:rsidRPr="00951E3B">
              <w:rPr>
                <w:rFonts w:ascii="Arial" w:hAnsi="Arial" w:cs="Arial"/>
                <w:color w:val="000000" w:themeColor="text1"/>
                <w:szCs w:val="22"/>
              </w:rPr>
              <w:t xml:space="preserve"> są rozliczane w oparciu o faktycznie poniesione koszty</w:t>
            </w:r>
            <w:r w:rsidR="0003370A" w:rsidRPr="00951E3B">
              <w:rPr>
                <w:rFonts w:ascii="Arial" w:hAnsi="Arial" w:cs="Arial"/>
                <w:color w:val="000000" w:themeColor="text1"/>
                <w:szCs w:val="22"/>
              </w:rPr>
              <w:t xml:space="preserve"> oraz</w:t>
            </w:r>
            <w:r w:rsidRPr="00951E3B">
              <w:rPr>
                <w:rFonts w:ascii="Arial" w:hAnsi="Arial" w:cs="Arial"/>
                <w:color w:val="000000" w:themeColor="text1"/>
                <w:szCs w:val="22"/>
              </w:rPr>
              <w:t xml:space="preserve"> zgodnie </w:t>
            </w:r>
            <w:r w:rsidR="0003370A" w:rsidRPr="00951E3B">
              <w:rPr>
                <w:rFonts w:ascii="Arial" w:hAnsi="Arial" w:cs="Arial"/>
                <w:color w:val="000000" w:themeColor="text1"/>
                <w:szCs w:val="22"/>
              </w:rPr>
              <w:t xml:space="preserve">m.in. </w:t>
            </w:r>
            <w:r w:rsidRPr="00951E3B">
              <w:rPr>
                <w:rFonts w:ascii="Arial" w:hAnsi="Arial" w:cs="Arial"/>
                <w:color w:val="000000" w:themeColor="text1"/>
                <w:szCs w:val="22"/>
              </w:rPr>
              <w:t xml:space="preserve">z warunkami określonymi w ww. regulacjach, w tym aktach wykonawczych do </w:t>
            </w:r>
            <w:r w:rsidR="00EF3F4C" w:rsidRPr="00951E3B">
              <w:rPr>
                <w:rFonts w:ascii="Arial" w:hAnsi="Arial" w:cs="Arial"/>
                <w:color w:val="000000" w:themeColor="text1"/>
                <w:szCs w:val="22"/>
              </w:rPr>
              <w:t>U</w:t>
            </w:r>
            <w:r w:rsidRPr="00951E3B">
              <w:rPr>
                <w:rFonts w:ascii="Arial" w:hAnsi="Arial" w:cs="Arial"/>
                <w:color w:val="000000" w:themeColor="text1"/>
                <w:szCs w:val="22"/>
              </w:rPr>
              <w:t>stawy</w:t>
            </w:r>
            <w:r w:rsidR="00EF3F4C" w:rsidRPr="00951E3B">
              <w:rPr>
                <w:rFonts w:ascii="Arial" w:hAnsi="Arial" w:cs="Arial"/>
                <w:color w:val="000000" w:themeColor="text1"/>
                <w:szCs w:val="22"/>
              </w:rPr>
              <w:t>, a</w:t>
            </w:r>
            <w:r w:rsidRPr="00951E3B">
              <w:rPr>
                <w:rFonts w:ascii="Arial" w:hAnsi="Arial" w:cs="Arial"/>
                <w:color w:val="000000" w:themeColor="text1"/>
                <w:szCs w:val="22"/>
              </w:rPr>
              <w:t xml:space="preserve"> SRK składa odpowiednie sprawozdania z wydatkowania środków.</w:t>
            </w:r>
          </w:p>
          <w:p w14:paraId="2ACE7261" w14:textId="3299F6AC" w:rsidR="00B07A37" w:rsidRPr="00951E3B" w:rsidRDefault="00EF3F4C" w:rsidP="00070209">
            <w:pPr>
              <w:pStyle w:val="H2"/>
              <w:rPr>
                <w:rFonts w:ascii="Arial" w:hAnsi="Arial" w:cs="Arial"/>
                <w:color w:val="000000" w:themeColor="text1"/>
                <w:szCs w:val="22"/>
              </w:rPr>
            </w:pPr>
            <w:r w:rsidRPr="00951E3B">
              <w:rPr>
                <w:rFonts w:ascii="Arial" w:hAnsi="Arial" w:cs="Arial"/>
                <w:color w:val="000000" w:themeColor="text1"/>
                <w:szCs w:val="22"/>
              </w:rPr>
              <w:t>U</w:t>
            </w:r>
            <w:r w:rsidR="001449B5" w:rsidRPr="00951E3B">
              <w:rPr>
                <w:rFonts w:ascii="Arial" w:hAnsi="Arial" w:cs="Arial"/>
                <w:color w:val="000000" w:themeColor="text1"/>
                <w:szCs w:val="22"/>
              </w:rPr>
              <w:t>dzielanie pomocy na pokrycie kos</w:t>
            </w:r>
            <w:bookmarkStart w:id="0" w:name="_GoBack"/>
            <w:bookmarkEnd w:id="0"/>
            <w:r w:rsidR="001449B5" w:rsidRPr="00951E3B">
              <w:rPr>
                <w:rFonts w:ascii="Arial" w:hAnsi="Arial" w:cs="Arial"/>
                <w:color w:val="000000" w:themeColor="text1"/>
                <w:szCs w:val="22"/>
              </w:rPr>
              <w:t>ztów nadzwyczajnych przez SRK</w:t>
            </w:r>
            <w:r w:rsidRPr="00951E3B">
              <w:rPr>
                <w:rFonts w:ascii="Arial" w:hAnsi="Arial" w:cs="Arial"/>
                <w:color w:val="000000" w:themeColor="text1"/>
                <w:szCs w:val="22"/>
              </w:rPr>
              <w:t xml:space="preserve"> będzie nadal kontynuowane</w:t>
            </w:r>
            <w:r w:rsidR="001449B5" w:rsidRPr="00951E3B">
              <w:rPr>
                <w:rFonts w:ascii="Arial" w:hAnsi="Arial" w:cs="Arial"/>
                <w:color w:val="000000" w:themeColor="text1"/>
                <w:szCs w:val="22"/>
              </w:rPr>
              <w:t xml:space="preserve">. Obok tego </w:t>
            </w:r>
            <w:r w:rsidRPr="00951E3B">
              <w:rPr>
                <w:rFonts w:ascii="Arial" w:hAnsi="Arial" w:cs="Arial"/>
                <w:color w:val="000000" w:themeColor="text1"/>
                <w:szCs w:val="22"/>
              </w:rPr>
              <w:t xml:space="preserve">już istniejącego </w:t>
            </w:r>
            <w:r w:rsidR="001449B5" w:rsidRPr="00951E3B">
              <w:rPr>
                <w:rFonts w:ascii="Arial" w:hAnsi="Arial" w:cs="Arial"/>
                <w:color w:val="000000" w:themeColor="text1"/>
                <w:szCs w:val="22"/>
              </w:rPr>
              <w:t>systemu będzie funkcjonował now</w:t>
            </w:r>
            <w:r w:rsidR="0003370A" w:rsidRPr="00951E3B">
              <w:rPr>
                <w:rFonts w:ascii="Arial" w:hAnsi="Arial" w:cs="Arial"/>
                <w:color w:val="000000" w:themeColor="text1"/>
                <w:szCs w:val="22"/>
              </w:rPr>
              <w:t xml:space="preserve">y </w:t>
            </w:r>
            <w:r w:rsidR="001449B5" w:rsidRPr="00951E3B">
              <w:rPr>
                <w:rFonts w:ascii="Arial" w:hAnsi="Arial" w:cs="Arial"/>
                <w:color w:val="000000" w:themeColor="text1"/>
                <w:szCs w:val="22"/>
              </w:rPr>
              <w:t xml:space="preserve">system wsparcia. </w:t>
            </w:r>
            <w:r w:rsidR="00B07A37" w:rsidRPr="00951E3B">
              <w:rPr>
                <w:rFonts w:ascii="Arial" w:hAnsi="Arial" w:cs="Arial"/>
                <w:color w:val="000000" w:themeColor="text1"/>
                <w:szCs w:val="22"/>
              </w:rPr>
              <w:t xml:space="preserve">SRK będzie nadal prowadziła likwidację </w:t>
            </w:r>
            <w:r w:rsidR="009A0CFB" w:rsidRPr="00951E3B">
              <w:rPr>
                <w:rFonts w:ascii="Arial" w:hAnsi="Arial" w:cs="Arial"/>
                <w:color w:val="000000" w:themeColor="text1"/>
                <w:szCs w:val="22"/>
              </w:rPr>
              <w:t xml:space="preserve">jednostek produkcyjnych </w:t>
            </w:r>
            <w:r w:rsidR="00B07A37" w:rsidRPr="00951E3B">
              <w:rPr>
                <w:rFonts w:ascii="Arial" w:hAnsi="Arial" w:cs="Arial"/>
                <w:color w:val="000000" w:themeColor="text1"/>
                <w:szCs w:val="22"/>
              </w:rPr>
              <w:t xml:space="preserve">na warunkach </w:t>
            </w:r>
            <w:r w:rsidR="009A0CFB" w:rsidRPr="00951E3B">
              <w:rPr>
                <w:rFonts w:ascii="Arial" w:hAnsi="Arial" w:cs="Arial"/>
                <w:color w:val="000000" w:themeColor="text1"/>
                <w:szCs w:val="22"/>
              </w:rPr>
              <w:t xml:space="preserve">zmodyfikowanego </w:t>
            </w:r>
            <w:r w:rsidR="00B07A37" w:rsidRPr="00951E3B">
              <w:rPr>
                <w:rFonts w:ascii="Arial" w:hAnsi="Arial" w:cs="Arial"/>
                <w:color w:val="000000" w:themeColor="text1"/>
                <w:szCs w:val="22"/>
              </w:rPr>
              <w:t xml:space="preserve">programu pomocowego, w odniesieniu do </w:t>
            </w:r>
            <w:r w:rsidR="009A0CFB" w:rsidRPr="00951E3B">
              <w:rPr>
                <w:rFonts w:ascii="Arial" w:hAnsi="Arial" w:cs="Arial"/>
                <w:color w:val="000000" w:themeColor="text1"/>
                <w:szCs w:val="22"/>
              </w:rPr>
              <w:t xml:space="preserve">jednostek </w:t>
            </w:r>
            <w:r w:rsidR="00B07A37" w:rsidRPr="00951E3B">
              <w:rPr>
                <w:rFonts w:ascii="Arial" w:hAnsi="Arial" w:cs="Arial"/>
                <w:color w:val="000000" w:themeColor="text1"/>
                <w:szCs w:val="22"/>
              </w:rPr>
              <w:t xml:space="preserve">objętych tym programem, </w:t>
            </w:r>
            <w:r w:rsidR="0003370A" w:rsidRPr="00951E3B">
              <w:rPr>
                <w:rFonts w:ascii="Arial" w:hAnsi="Arial" w:cs="Arial"/>
                <w:color w:val="000000" w:themeColor="text1"/>
                <w:szCs w:val="22"/>
              </w:rPr>
              <w:t xml:space="preserve">a </w:t>
            </w:r>
            <w:r w:rsidR="00B07A37" w:rsidRPr="00951E3B">
              <w:rPr>
                <w:rFonts w:ascii="Arial" w:hAnsi="Arial" w:cs="Arial"/>
                <w:color w:val="000000" w:themeColor="text1"/>
                <w:szCs w:val="22"/>
              </w:rPr>
              <w:t xml:space="preserve">likwidacja kolejnych jednostek będzie </w:t>
            </w:r>
            <w:r w:rsidR="0003370A" w:rsidRPr="00951E3B">
              <w:rPr>
                <w:rFonts w:ascii="Arial" w:hAnsi="Arial" w:cs="Arial"/>
                <w:color w:val="000000" w:themeColor="text1"/>
                <w:szCs w:val="22"/>
              </w:rPr>
              <w:t xml:space="preserve">mogła być </w:t>
            </w:r>
            <w:r w:rsidR="00B07A37" w:rsidRPr="00951E3B">
              <w:rPr>
                <w:rFonts w:ascii="Arial" w:hAnsi="Arial" w:cs="Arial"/>
                <w:color w:val="000000" w:themeColor="text1"/>
                <w:szCs w:val="22"/>
              </w:rPr>
              <w:t xml:space="preserve">prowadzona </w:t>
            </w:r>
            <w:r w:rsidR="006502E7" w:rsidRPr="00951E3B">
              <w:rPr>
                <w:rFonts w:ascii="Arial" w:hAnsi="Arial" w:cs="Arial"/>
                <w:color w:val="000000" w:themeColor="text1"/>
                <w:szCs w:val="22"/>
              </w:rPr>
              <w:t xml:space="preserve">również </w:t>
            </w:r>
            <w:r w:rsidR="00B07A37" w:rsidRPr="00951E3B">
              <w:rPr>
                <w:rFonts w:ascii="Arial" w:hAnsi="Arial" w:cs="Arial"/>
                <w:color w:val="000000" w:themeColor="text1"/>
                <w:szCs w:val="22"/>
              </w:rPr>
              <w:t xml:space="preserve">przez </w:t>
            </w:r>
            <w:r w:rsidR="0003370A" w:rsidRPr="00951E3B">
              <w:rPr>
                <w:rFonts w:ascii="Arial" w:hAnsi="Arial" w:cs="Arial"/>
                <w:color w:val="000000" w:themeColor="text1"/>
                <w:szCs w:val="22"/>
              </w:rPr>
              <w:t xml:space="preserve">inne </w:t>
            </w:r>
            <w:r w:rsidR="00B07A37" w:rsidRPr="00951E3B">
              <w:rPr>
                <w:rFonts w:ascii="Arial" w:hAnsi="Arial" w:cs="Arial"/>
                <w:color w:val="000000" w:themeColor="text1"/>
                <w:szCs w:val="22"/>
              </w:rPr>
              <w:t>konkretne przedsiębiorstwo</w:t>
            </w:r>
            <w:r w:rsidR="006502E7" w:rsidRPr="00951E3B">
              <w:rPr>
                <w:rFonts w:ascii="Arial" w:hAnsi="Arial" w:cs="Arial"/>
                <w:color w:val="000000" w:themeColor="text1"/>
                <w:szCs w:val="22"/>
              </w:rPr>
              <w:t xml:space="preserve"> </w:t>
            </w:r>
            <w:r w:rsidR="0003370A" w:rsidRPr="00951E3B">
              <w:rPr>
                <w:rFonts w:ascii="Arial" w:hAnsi="Arial" w:cs="Arial"/>
                <w:color w:val="000000" w:themeColor="text1"/>
                <w:szCs w:val="22"/>
              </w:rPr>
              <w:t xml:space="preserve">górnicze, </w:t>
            </w:r>
            <w:r w:rsidR="006502E7" w:rsidRPr="00951E3B">
              <w:rPr>
                <w:rFonts w:ascii="Arial" w:hAnsi="Arial" w:cs="Arial"/>
                <w:color w:val="000000" w:themeColor="text1"/>
                <w:szCs w:val="22"/>
              </w:rPr>
              <w:t>wyznaczone przez Skarb Państwa</w:t>
            </w:r>
            <w:r w:rsidR="00B07A37" w:rsidRPr="00951E3B">
              <w:rPr>
                <w:rFonts w:ascii="Arial" w:hAnsi="Arial" w:cs="Arial"/>
                <w:color w:val="000000" w:themeColor="text1"/>
                <w:szCs w:val="22"/>
              </w:rPr>
              <w:t xml:space="preserve">. </w:t>
            </w:r>
            <w:r w:rsidR="006502E7" w:rsidRPr="00951E3B">
              <w:rPr>
                <w:rFonts w:ascii="Arial" w:hAnsi="Arial" w:cs="Arial"/>
                <w:color w:val="000000" w:themeColor="text1"/>
                <w:szCs w:val="22"/>
              </w:rPr>
              <w:t>Jednocześnie planuje się udzielanie dopłat do redukcji zdolności produkcyjnych dla jednostek</w:t>
            </w:r>
            <w:r w:rsidR="0056286B" w:rsidRPr="00951E3B">
              <w:rPr>
                <w:rFonts w:ascii="Arial" w:hAnsi="Arial" w:cs="Arial"/>
                <w:color w:val="000000" w:themeColor="text1"/>
                <w:szCs w:val="22"/>
              </w:rPr>
              <w:t xml:space="preserve"> produkcyjnych</w:t>
            </w:r>
            <w:r w:rsidR="00420043" w:rsidRPr="00951E3B">
              <w:rPr>
                <w:rFonts w:ascii="Arial" w:hAnsi="Arial" w:cs="Arial"/>
                <w:color w:val="000000" w:themeColor="text1"/>
                <w:szCs w:val="22"/>
              </w:rPr>
              <w:t xml:space="preserve">. Łącznie instrumenty zwane są </w:t>
            </w:r>
            <w:r w:rsidR="009A0CFB" w:rsidRPr="00951E3B">
              <w:rPr>
                <w:rFonts w:ascii="Arial" w:hAnsi="Arial" w:cs="Arial"/>
                <w:color w:val="000000" w:themeColor="text1"/>
                <w:szCs w:val="22"/>
              </w:rPr>
              <w:t xml:space="preserve"> „</w:t>
            </w:r>
            <w:r w:rsidR="009A0CFB" w:rsidRPr="00951E3B">
              <w:rPr>
                <w:rFonts w:ascii="Arial" w:hAnsi="Arial" w:cs="Arial"/>
                <w:b/>
                <w:bCs/>
                <w:color w:val="000000" w:themeColor="text1"/>
                <w:szCs w:val="22"/>
              </w:rPr>
              <w:t>System Wsparcia</w:t>
            </w:r>
            <w:r w:rsidR="009A0CFB" w:rsidRPr="00951E3B">
              <w:rPr>
                <w:rFonts w:ascii="Arial" w:hAnsi="Arial" w:cs="Arial"/>
                <w:color w:val="000000" w:themeColor="text1"/>
                <w:szCs w:val="22"/>
              </w:rPr>
              <w:t>”</w:t>
            </w:r>
            <w:r w:rsidR="006502E7" w:rsidRPr="00951E3B">
              <w:rPr>
                <w:rFonts w:ascii="Arial" w:hAnsi="Arial" w:cs="Arial"/>
                <w:color w:val="000000" w:themeColor="text1"/>
                <w:szCs w:val="22"/>
              </w:rPr>
              <w:t>.</w:t>
            </w:r>
          </w:p>
          <w:p w14:paraId="0415454B" w14:textId="6BE1625B" w:rsidR="00472FF7" w:rsidRPr="00951E3B" w:rsidRDefault="00472FF7" w:rsidP="005F0F7F">
            <w:pPr>
              <w:pStyle w:val="text1x"/>
              <w:ind w:left="0"/>
              <w:rPr>
                <w:rFonts w:ascii="Arial" w:hAnsi="Arial" w:cs="Arial"/>
                <w:color w:val="000000" w:themeColor="text1"/>
                <w:lang w:eastAsia="pl-PL"/>
              </w:rPr>
            </w:pPr>
          </w:p>
          <w:p w14:paraId="40873099" w14:textId="77777777" w:rsidR="005F0F7F" w:rsidRPr="00951E3B" w:rsidRDefault="005F0F7F" w:rsidP="005F0F7F">
            <w:pPr>
              <w:pStyle w:val="text1x"/>
              <w:ind w:left="0"/>
              <w:rPr>
                <w:rFonts w:ascii="Arial" w:hAnsi="Arial" w:cs="Arial"/>
                <w:color w:val="000000" w:themeColor="text1"/>
                <w:lang w:eastAsia="pl-PL"/>
              </w:rPr>
            </w:pPr>
          </w:p>
          <w:p w14:paraId="13559E49" w14:textId="5D49BEFC" w:rsidR="00071218" w:rsidRPr="00951E3B" w:rsidRDefault="00071218" w:rsidP="00070209">
            <w:pPr>
              <w:pStyle w:val="H1"/>
              <w:rPr>
                <w:rFonts w:ascii="Arial" w:hAnsi="Arial" w:cs="Arial"/>
                <w:color w:val="000000" w:themeColor="text1"/>
                <w:szCs w:val="22"/>
              </w:rPr>
            </w:pPr>
            <w:r w:rsidRPr="00951E3B">
              <w:rPr>
                <w:rFonts w:ascii="Arial" w:hAnsi="Arial" w:cs="Arial"/>
                <w:color w:val="000000" w:themeColor="text1"/>
                <w:szCs w:val="22"/>
              </w:rPr>
              <w:lastRenderedPageBreak/>
              <w:t>podstawa prawna</w:t>
            </w:r>
          </w:p>
          <w:p w14:paraId="54B3F61A" w14:textId="0C5C87F5" w:rsidR="00071218" w:rsidRPr="00951E3B" w:rsidRDefault="00071218" w:rsidP="00070209">
            <w:pPr>
              <w:pStyle w:val="H2"/>
              <w:rPr>
                <w:rFonts w:ascii="Arial" w:hAnsi="Arial" w:cs="Arial"/>
                <w:color w:val="000000" w:themeColor="text1"/>
                <w:szCs w:val="22"/>
              </w:rPr>
            </w:pPr>
            <w:r w:rsidRPr="00951E3B">
              <w:rPr>
                <w:rFonts w:ascii="Arial" w:hAnsi="Arial" w:cs="Arial"/>
                <w:color w:val="000000" w:themeColor="text1"/>
                <w:szCs w:val="22"/>
              </w:rPr>
              <w:t xml:space="preserve">Wprowadzenie </w:t>
            </w:r>
            <w:r w:rsidR="009A0CFB" w:rsidRPr="00951E3B">
              <w:rPr>
                <w:rFonts w:ascii="Arial" w:hAnsi="Arial" w:cs="Arial"/>
                <w:color w:val="000000" w:themeColor="text1"/>
                <w:szCs w:val="22"/>
              </w:rPr>
              <w:t>S</w:t>
            </w:r>
            <w:r w:rsidRPr="00951E3B">
              <w:rPr>
                <w:rFonts w:ascii="Arial" w:hAnsi="Arial" w:cs="Arial"/>
                <w:color w:val="000000" w:themeColor="text1"/>
                <w:szCs w:val="22"/>
              </w:rPr>
              <w:t xml:space="preserve">ystemu </w:t>
            </w:r>
            <w:r w:rsidR="009A0CFB" w:rsidRPr="00951E3B">
              <w:rPr>
                <w:rFonts w:ascii="Arial" w:hAnsi="Arial" w:cs="Arial"/>
                <w:color w:val="000000" w:themeColor="text1"/>
                <w:szCs w:val="22"/>
              </w:rPr>
              <w:t>W</w:t>
            </w:r>
            <w:r w:rsidRPr="00951E3B">
              <w:rPr>
                <w:rFonts w:ascii="Arial" w:hAnsi="Arial" w:cs="Arial"/>
                <w:color w:val="000000" w:themeColor="text1"/>
                <w:szCs w:val="22"/>
              </w:rPr>
              <w:t xml:space="preserve">sparcia wymaga uzyskania zgody </w:t>
            </w:r>
            <w:r w:rsidR="0003370A" w:rsidRPr="00951E3B">
              <w:rPr>
                <w:rFonts w:ascii="Arial" w:hAnsi="Arial" w:cs="Arial"/>
                <w:color w:val="000000" w:themeColor="text1"/>
                <w:szCs w:val="22"/>
              </w:rPr>
              <w:t xml:space="preserve">Komisji Europejskiej </w:t>
            </w:r>
            <w:r w:rsidR="00EF5EBD" w:rsidRPr="00951E3B">
              <w:rPr>
                <w:rFonts w:ascii="Arial" w:hAnsi="Arial" w:cs="Arial"/>
                <w:color w:val="000000" w:themeColor="text1"/>
                <w:szCs w:val="22"/>
              </w:rPr>
              <w:t>(</w:t>
            </w:r>
            <w:r w:rsidR="0003370A" w:rsidRPr="00951E3B">
              <w:rPr>
                <w:rFonts w:ascii="Arial" w:hAnsi="Arial" w:cs="Arial"/>
                <w:color w:val="000000" w:themeColor="text1"/>
                <w:szCs w:val="22"/>
              </w:rPr>
              <w:t>„</w:t>
            </w:r>
            <w:r w:rsidRPr="00951E3B">
              <w:rPr>
                <w:rFonts w:ascii="Arial" w:hAnsi="Arial" w:cs="Arial"/>
                <w:b/>
                <w:bCs/>
                <w:color w:val="000000" w:themeColor="text1"/>
                <w:szCs w:val="22"/>
              </w:rPr>
              <w:t>KE</w:t>
            </w:r>
            <w:r w:rsidR="0003370A" w:rsidRPr="00951E3B">
              <w:rPr>
                <w:rFonts w:ascii="Arial" w:hAnsi="Arial" w:cs="Arial"/>
                <w:color w:val="000000" w:themeColor="text1"/>
                <w:szCs w:val="22"/>
              </w:rPr>
              <w:t>”)</w:t>
            </w:r>
            <w:r w:rsidRPr="00951E3B">
              <w:rPr>
                <w:rFonts w:ascii="Arial" w:hAnsi="Arial" w:cs="Arial"/>
                <w:color w:val="000000" w:themeColor="text1"/>
                <w:szCs w:val="22"/>
              </w:rPr>
              <w:t xml:space="preserve"> w formie decyzji. Z tego względu konieczna będzie notyfikacja </w:t>
            </w:r>
            <w:r w:rsidR="009A0CFB" w:rsidRPr="00951E3B">
              <w:rPr>
                <w:rFonts w:ascii="Arial" w:hAnsi="Arial" w:cs="Arial"/>
                <w:color w:val="000000" w:themeColor="text1"/>
                <w:szCs w:val="22"/>
              </w:rPr>
              <w:t>S</w:t>
            </w:r>
            <w:r w:rsidR="00EF3F4C" w:rsidRPr="00951E3B">
              <w:rPr>
                <w:rFonts w:ascii="Arial" w:hAnsi="Arial" w:cs="Arial"/>
                <w:color w:val="000000" w:themeColor="text1"/>
                <w:szCs w:val="22"/>
              </w:rPr>
              <w:t xml:space="preserve">ystemu </w:t>
            </w:r>
            <w:r w:rsidR="009A0CFB" w:rsidRPr="00951E3B">
              <w:rPr>
                <w:rFonts w:ascii="Arial" w:hAnsi="Arial" w:cs="Arial"/>
                <w:color w:val="000000" w:themeColor="text1"/>
                <w:szCs w:val="22"/>
              </w:rPr>
              <w:t>W</w:t>
            </w:r>
            <w:r w:rsidR="00EF3F4C" w:rsidRPr="00951E3B">
              <w:rPr>
                <w:rFonts w:ascii="Arial" w:hAnsi="Arial" w:cs="Arial"/>
                <w:color w:val="000000" w:themeColor="text1"/>
                <w:szCs w:val="22"/>
              </w:rPr>
              <w:t>sparcia</w:t>
            </w:r>
            <w:r w:rsidR="009A0CFB" w:rsidRPr="00951E3B">
              <w:rPr>
                <w:rFonts w:ascii="Arial" w:hAnsi="Arial" w:cs="Arial"/>
                <w:color w:val="000000" w:themeColor="text1"/>
                <w:szCs w:val="22"/>
              </w:rPr>
              <w:t>, który</w:t>
            </w:r>
            <w:r w:rsidR="00CD6E6E" w:rsidRPr="00951E3B">
              <w:rPr>
                <w:rFonts w:ascii="Arial" w:hAnsi="Arial" w:cs="Arial"/>
                <w:color w:val="000000" w:themeColor="text1"/>
                <w:szCs w:val="22"/>
              </w:rPr>
              <w:t xml:space="preserve"> </w:t>
            </w:r>
            <w:r w:rsidR="006502E7" w:rsidRPr="00951E3B">
              <w:rPr>
                <w:rFonts w:ascii="Arial" w:hAnsi="Arial" w:cs="Arial"/>
                <w:color w:val="000000" w:themeColor="text1"/>
                <w:szCs w:val="22"/>
              </w:rPr>
              <w:t xml:space="preserve">będzie oceniany przez </w:t>
            </w:r>
            <w:r w:rsidR="0003370A" w:rsidRPr="00951E3B">
              <w:rPr>
                <w:rFonts w:ascii="Arial" w:hAnsi="Arial" w:cs="Arial"/>
                <w:color w:val="000000" w:themeColor="text1"/>
                <w:szCs w:val="22"/>
              </w:rPr>
              <w:t xml:space="preserve">KE </w:t>
            </w:r>
            <w:r w:rsidR="006502E7" w:rsidRPr="00951E3B">
              <w:rPr>
                <w:rFonts w:ascii="Arial" w:hAnsi="Arial" w:cs="Arial"/>
                <w:color w:val="000000" w:themeColor="text1"/>
                <w:szCs w:val="22"/>
              </w:rPr>
              <w:t xml:space="preserve">bezpośrednio na </w:t>
            </w:r>
            <w:r w:rsidR="00DE1D59" w:rsidRPr="00951E3B">
              <w:rPr>
                <w:rFonts w:ascii="Arial" w:hAnsi="Arial" w:cs="Arial"/>
                <w:color w:val="000000" w:themeColor="text1"/>
                <w:szCs w:val="22"/>
              </w:rPr>
              <w:t xml:space="preserve">podstawie Traktatu </w:t>
            </w:r>
            <w:r w:rsidR="006502E7" w:rsidRPr="00951E3B">
              <w:rPr>
                <w:rFonts w:ascii="Arial" w:hAnsi="Arial" w:cs="Arial"/>
                <w:color w:val="000000" w:themeColor="text1"/>
                <w:szCs w:val="22"/>
              </w:rPr>
              <w:t>o funkcjonowaniu Unii Europejskiej</w:t>
            </w:r>
            <w:r w:rsidR="0003370A" w:rsidRPr="00951E3B">
              <w:rPr>
                <w:rFonts w:ascii="Arial" w:hAnsi="Arial" w:cs="Arial"/>
                <w:color w:val="000000" w:themeColor="text1"/>
                <w:szCs w:val="22"/>
              </w:rPr>
              <w:t xml:space="preserve"> („</w:t>
            </w:r>
            <w:r w:rsidR="00EF5EBD" w:rsidRPr="00951E3B">
              <w:rPr>
                <w:rFonts w:ascii="Arial" w:hAnsi="Arial" w:cs="Arial"/>
                <w:b/>
                <w:color w:val="000000" w:themeColor="text1"/>
                <w:szCs w:val="22"/>
              </w:rPr>
              <w:t>TF</w:t>
            </w:r>
            <w:r w:rsidR="0003370A" w:rsidRPr="00951E3B">
              <w:rPr>
                <w:rFonts w:ascii="Arial" w:hAnsi="Arial" w:cs="Arial"/>
                <w:b/>
                <w:bCs/>
                <w:color w:val="000000" w:themeColor="text1"/>
                <w:szCs w:val="22"/>
              </w:rPr>
              <w:t>UE</w:t>
            </w:r>
            <w:r w:rsidR="0003370A" w:rsidRPr="00951E3B">
              <w:rPr>
                <w:rFonts w:ascii="Arial" w:hAnsi="Arial" w:cs="Arial"/>
                <w:color w:val="000000" w:themeColor="text1"/>
                <w:szCs w:val="22"/>
              </w:rPr>
              <w:t>”)</w:t>
            </w:r>
            <w:r w:rsidR="009A0CFB" w:rsidRPr="00951E3B">
              <w:rPr>
                <w:rFonts w:ascii="Arial" w:hAnsi="Arial" w:cs="Arial"/>
                <w:color w:val="000000" w:themeColor="text1"/>
                <w:szCs w:val="22"/>
              </w:rPr>
              <w:t xml:space="preserve"> oraz Decyzji Rady</w:t>
            </w:r>
            <w:r w:rsidR="006502E7" w:rsidRPr="00951E3B">
              <w:rPr>
                <w:rFonts w:ascii="Arial" w:hAnsi="Arial" w:cs="Arial"/>
                <w:color w:val="000000" w:themeColor="text1"/>
                <w:szCs w:val="22"/>
              </w:rPr>
              <w:t>.</w:t>
            </w:r>
          </w:p>
          <w:p w14:paraId="3A40D8C1" w14:textId="6F97A61E" w:rsidR="00071218" w:rsidRPr="00951E3B" w:rsidRDefault="00D26B72" w:rsidP="00070209">
            <w:pPr>
              <w:pStyle w:val="H2"/>
              <w:rPr>
                <w:rFonts w:ascii="Arial" w:hAnsi="Arial" w:cs="Arial"/>
                <w:color w:val="000000" w:themeColor="text1"/>
                <w:szCs w:val="22"/>
              </w:rPr>
            </w:pPr>
            <w:r w:rsidRPr="00951E3B">
              <w:rPr>
                <w:rFonts w:ascii="Arial" w:hAnsi="Arial" w:cs="Arial"/>
                <w:color w:val="000000" w:themeColor="text1"/>
                <w:szCs w:val="22"/>
              </w:rPr>
              <w:t>Wynika to z okoliczności, że</w:t>
            </w:r>
            <w:r w:rsidR="00071218" w:rsidRPr="00951E3B">
              <w:rPr>
                <w:rFonts w:ascii="Arial" w:hAnsi="Arial" w:cs="Arial"/>
                <w:color w:val="000000" w:themeColor="text1"/>
                <w:szCs w:val="22"/>
              </w:rPr>
              <w:t>:</w:t>
            </w:r>
          </w:p>
          <w:p w14:paraId="7130BF2E" w14:textId="4935AA08" w:rsidR="00071218" w:rsidRPr="00951E3B" w:rsidRDefault="00071218" w:rsidP="00070209">
            <w:pPr>
              <w:pStyle w:val="H5"/>
              <w:rPr>
                <w:rFonts w:ascii="Arial" w:hAnsi="Arial" w:cs="Arial"/>
                <w:color w:val="000000" w:themeColor="text1"/>
                <w:szCs w:val="22"/>
              </w:rPr>
            </w:pPr>
            <w:r w:rsidRPr="00951E3B">
              <w:rPr>
                <w:rFonts w:ascii="Arial" w:hAnsi="Arial" w:cs="Arial"/>
                <w:color w:val="000000" w:themeColor="text1"/>
                <w:szCs w:val="22"/>
              </w:rPr>
              <w:t xml:space="preserve">dla dopłaty do redukcji zdolności produkcyjnych aktualnie nie ma szczegółowej podstawy prawnej w przepisach </w:t>
            </w:r>
            <w:r w:rsidR="00DE1D59" w:rsidRPr="00951E3B">
              <w:rPr>
                <w:rFonts w:ascii="Arial" w:hAnsi="Arial" w:cs="Arial"/>
                <w:color w:val="000000" w:themeColor="text1"/>
                <w:szCs w:val="22"/>
              </w:rPr>
              <w:t>UE</w:t>
            </w:r>
            <w:r w:rsidRPr="00951E3B">
              <w:rPr>
                <w:rFonts w:ascii="Arial" w:hAnsi="Arial" w:cs="Arial"/>
                <w:color w:val="000000" w:themeColor="text1"/>
                <w:szCs w:val="22"/>
              </w:rPr>
              <w:t>,</w:t>
            </w:r>
          </w:p>
          <w:p w14:paraId="053008D2" w14:textId="2AC8C0BC" w:rsidR="00071218" w:rsidRPr="00951E3B" w:rsidRDefault="00071218" w:rsidP="005F0F7F">
            <w:pPr>
              <w:pStyle w:val="H5"/>
              <w:rPr>
                <w:rFonts w:ascii="Arial" w:hAnsi="Arial" w:cs="Arial"/>
                <w:color w:val="000000" w:themeColor="text1"/>
                <w:szCs w:val="22"/>
              </w:rPr>
            </w:pPr>
            <w:r w:rsidRPr="00951E3B">
              <w:rPr>
                <w:rFonts w:ascii="Arial" w:hAnsi="Arial" w:cs="Arial"/>
                <w:color w:val="000000" w:themeColor="text1"/>
                <w:szCs w:val="22"/>
              </w:rPr>
              <w:t xml:space="preserve">pomoc na koszty nadzwyczajne objęta jest </w:t>
            </w:r>
            <w:r w:rsidR="006502E7" w:rsidRPr="00951E3B">
              <w:rPr>
                <w:rFonts w:ascii="Arial" w:hAnsi="Arial" w:cs="Arial"/>
                <w:color w:val="000000" w:themeColor="text1"/>
                <w:szCs w:val="22"/>
              </w:rPr>
              <w:t xml:space="preserve">obecnie </w:t>
            </w:r>
            <w:r w:rsidRPr="00951E3B">
              <w:rPr>
                <w:rFonts w:ascii="Arial" w:hAnsi="Arial" w:cs="Arial"/>
                <w:color w:val="000000" w:themeColor="text1"/>
                <w:szCs w:val="22"/>
              </w:rPr>
              <w:t xml:space="preserve">Decyzją Rady, ale decyzja ta obowiązuje jedynie do </w:t>
            </w:r>
            <w:r w:rsidR="002B1547" w:rsidRPr="00951E3B">
              <w:rPr>
                <w:rFonts w:ascii="Arial" w:hAnsi="Arial" w:cs="Arial"/>
                <w:color w:val="000000" w:themeColor="text1"/>
                <w:szCs w:val="22"/>
              </w:rPr>
              <w:t xml:space="preserve">końca </w:t>
            </w:r>
            <w:r w:rsidRPr="00951E3B">
              <w:rPr>
                <w:rFonts w:ascii="Arial" w:hAnsi="Arial" w:cs="Arial"/>
                <w:color w:val="000000" w:themeColor="text1"/>
                <w:szCs w:val="22"/>
              </w:rPr>
              <w:t>2027 r.</w:t>
            </w:r>
            <w:r w:rsidR="006502E7" w:rsidRPr="00951E3B">
              <w:rPr>
                <w:rFonts w:ascii="Arial" w:hAnsi="Arial" w:cs="Arial"/>
                <w:color w:val="000000" w:themeColor="text1"/>
                <w:szCs w:val="22"/>
              </w:rPr>
              <w:t xml:space="preserve"> (przy czym przyjmuje się założenie, że w zakresie kosztów nadzwyczajnych</w:t>
            </w:r>
            <w:r w:rsidR="0003370A" w:rsidRPr="00951E3B">
              <w:rPr>
                <w:rFonts w:ascii="Arial" w:hAnsi="Arial" w:cs="Arial"/>
                <w:color w:val="000000" w:themeColor="text1"/>
                <w:szCs w:val="22"/>
              </w:rPr>
              <w:t>,</w:t>
            </w:r>
            <w:r w:rsidR="006502E7" w:rsidRPr="00951E3B">
              <w:rPr>
                <w:rFonts w:ascii="Arial" w:hAnsi="Arial" w:cs="Arial"/>
                <w:color w:val="000000" w:themeColor="text1"/>
                <w:szCs w:val="22"/>
              </w:rPr>
              <w:t xml:space="preserve"> </w:t>
            </w:r>
            <w:r w:rsidR="0003370A" w:rsidRPr="00951E3B">
              <w:rPr>
                <w:rFonts w:ascii="Arial" w:hAnsi="Arial" w:cs="Arial"/>
                <w:color w:val="000000" w:themeColor="text1"/>
                <w:szCs w:val="22"/>
              </w:rPr>
              <w:t xml:space="preserve">notyfikowany do KE </w:t>
            </w:r>
            <w:r w:rsidR="009A0CFB" w:rsidRPr="00951E3B">
              <w:rPr>
                <w:rFonts w:ascii="Arial" w:hAnsi="Arial" w:cs="Arial"/>
                <w:color w:val="000000" w:themeColor="text1"/>
                <w:szCs w:val="22"/>
              </w:rPr>
              <w:t>S</w:t>
            </w:r>
            <w:r w:rsidR="006502E7" w:rsidRPr="00951E3B">
              <w:rPr>
                <w:rFonts w:ascii="Arial" w:hAnsi="Arial" w:cs="Arial"/>
                <w:color w:val="000000" w:themeColor="text1"/>
                <w:szCs w:val="22"/>
              </w:rPr>
              <w:t xml:space="preserve">ystem </w:t>
            </w:r>
            <w:r w:rsidR="009A0CFB" w:rsidRPr="00951E3B">
              <w:rPr>
                <w:rFonts w:ascii="Arial" w:hAnsi="Arial" w:cs="Arial"/>
                <w:color w:val="000000" w:themeColor="text1"/>
                <w:szCs w:val="22"/>
              </w:rPr>
              <w:t xml:space="preserve">Wsparcia </w:t>
            </w:r>
            <w:r w:rsidR="0003370A" w:rsidRPr="00951E3B">
              <w:rPr>
                <w:rFonts w:ascii="Arial" w:hAnsi="Arial" w:cs="Arial"/>
                <w:color w:val="000000" w:themeColor="text1"/>
                <w:szCs w:val="22"/>
              </w:rPr>
              <w:t xml:space="preserve">będzie </w:t>
            </w:r>
            <w:r w:rsidR="006502E7" w:rsidRPr="00951E3B">
              <w:rPr>
                <w:rFonts w:ascii="Arial" w:hAnsi="Arial" w:cs="Arial"/>
                <w:color w:val="000000" w:themeColor="text1"/>
                <w:szCs w:val="22"/>
              </w:rPr>
              <w:t>jak najbardziej zbliżony do obecnego</w:t>
            </w:r>
            <w:r w:rsidR="0003370A" w:rsidRPr="00951E3B">
              <w:rPr>
                <w:rFonts w:ascii="Arial" w:hAnsi="Arial" w:cs="Arial"/>
                <w:color w:val="000000" w:themeColor="text1"/>
                <w:szCs w:val="22"/>
              </w:rPr>
              <w:t>,</w:t>
            </w:r>
            <w:r w:rsidR="006502E7" w:rsidRPr="00951E3B">
              <w:rPr>
                <w:rFonts w:ascii="Arial" w:hAnsi="Arial" w:cs="Arial"/>
                <w:color w:val="000000" w:themeColor="text1"/>
                <w:szCs w:val="22"/>
              </w:rPr>
              <w:t xml:space="preserve"> określonego w Decyzji Rady).</w:t>
            </w:r>
          </w:p>
          <w:p w14:paraId="0E1E4D71" w14:textId="6FC3941B" w:rsidR="00265502" w:rsidRPr="00951E3B" w:rsidRDefault="00364EC4" w:rsidP="00265502">
            <w:pPr>
              <w:pStyle w:val="H2"/>
              <w:rPr>
                <w:rFonts w:ascii="Arial" w:hAnsi="Arial" w:cs="Arial"/>
                <w:color w:val="000000" w:themeColor="text1"/>
                <w:szCs w:val="22"/>
              </w:rPr>
            </w:pPr>
            <w:r w:rsidRPr="00951E3B">
              <w:rPr>
                <w:rFonts w:ascii="Arial" w:hAnsi="Arial" w:cs="Arial"/>
                <w:color w:val="000000" w:themeColor="text1"/>
                <w:szCs w:val="22"/>
              </w:rPr>
              <w:t xml:space="preserve">Krajową podstawą prawną będzie </w:t>
            </w:r>
            <w:r w:rsidR="00EF3F4C" w:rsidRPr="00951E3B">
              <w:rPr>
                <w:rFonts w:ascii="Arial" w:hAnsi="Arial" w:cs="Arial"/>
                <w:color w:val="000000" w:themeColor="text1"/>
                <w:szCs w:val="22"/>
              </w:rPr>
              <w:t>U</w:t>
            </w:r>
            <w:r w:rsidRPr="00951E3B">
              <w:rPr>
                <w:rFonts w:ascii="Arial" w:hAnsi="Arial" w:cs="Arial"/>
                <w:color w:val="000000" w:themeColor="text1"/>
                <w:szCs w:val="22"/>
              </w:rPr>
              <w:t>stawa</w:t>
            </w:r>
            <w:r w:rsidR="007D3E3D" w:rsidRPr="00951E3B">
              <w:rPr>
                <w:rFonts w:ascii="Arial" w:hAnsi="Arial" w:cs="Arial"/>
                <w:color w:val="000000" w:themeColor="text1"/>
                <w:szCs w:val="22"/>
              </w:rPr>
              <w:t xml:space="preserve"> (wraz z odpowiednimi aktami wykonawczymi)</w:t>
            </w:r>
            <w:r w:rsidRPr="00951E3B">
              <w:rPr>
                <w:rFonts w:ascii="Arial" w:hAnsi="Arial" w:cs="Arial"/>
                <w:color w:val="000000" w:themeColor="text1"/>
                <w:szCs w:val="22"/>
              </w:rPr>
              <w:t xml:space="preserve">, która będzie podlegała zmianom legislacyjnym odzwierciedlającym wypracowany </w:t>
            </w:r>
            <w:r w:rsidR="009A0CFB" w:rsidRPr="00951E3B">
              <w:rPr>
                <w:rFonts w:ascii="Arial" w:hAnsi="Arial" w:cs="Arial"/>
                <w:color w:val="000000" w:themeColor="text1"/>
                <w:szCs w:val="22"/>
              </w:rPr>
              <w:t>S</w:t>
            </w:r>
            <w:r w:rsidRPr="00951E3B">
              <w:rPr>
                <w:rFonts w:ascii="Arial" w:hAnsi="Arial" w:cs="Arial"/>
                <w:color w:val="000000" w:themeColor="text1"/>
                <w:szCs w:val="22"/>
              </w:rPr>
              <w:t xml:space="preserve">ystem </w:t>
            </w:r>
            <w:r w:rsidR="009A0CFB" w:rsidRPr="00951E3B">
              <w:rPr>
                <w:rFonts w:ascii="Arial" w:hAnsi="Arial" w:cs="Arial"/>
                <w:color w:val="000000" w:themeColor="text1"/>
                <w:szCs w:val="22"/>
              </w:rPr>
              <w:t>W</w:t>
            </w:r>
            <w:r w:rsidRPr="00951E3B">
              <w:rPr>
                <w:rFonts w:ascii="Arial" w:hAnsi="Arial" w:cs="Arial"/>
                <w:color w:val="000000" w:themeColor="text1"/>
                <w:szCs w:val="22"/>
              </w:rPr>
              <w:t xml:space="preserve">sparcia. </w:t>
            </w:r>
            <w:r w:rsidR="00EF3F4C" w:rsidRPr="00951E3B">
              <w:rPr>
                <w:rFonts w:ascii="Arial" w:hAnsi="Arial" w:cs="Arial"/>
                <w:color w:val="000000" w:themeColor="text1"/>
                <w:szCs w:val="22"/>
              </w:rPr>
              <w:t>U</w:t>
            </w:r>
            <w:r w:rsidRPr="00951E3B">
              <w:rPr>
                <w:rFonts w:ascii="Arial" w:hAnsi="Arial" w:cs="Arial"/>
                <w:color w:val="000000" w:themeColor="text1"/>
                <w:szCs w:val="22"/>
              </w:rPr>
              <w:t xml:space="preserve">stawa </w:t>
            </w:r>
            <w:r w:rsidR="00374062" w:rsidRPr="00951E3B">
              <w:rPr>
                <w:rFonts w:ascii="Arial" w:hAnsi="Arial" w:cs="Arial"/>
                <w:color w:val="000000" w:themeColor="text1"/>
                <w:szCs w:val="22"/>
              </w:rPr>
              <w:t>będzie</w:t>
            </w:r>
            <w:r w:rsidRPr="00951E3B">
              <w:rPr>
                <w:rFonts w:ascii="Arial" w:hAnsi="Arial" w:cs="Arial"/>
                <w:color w:val="000000" w:themeColor="text1"/>
                <w:szCs w:val="22"/>
              </w:rPr>
              <w:t xml:space="preserve"> wymagać zmian</w:t>
            </w:r>
            <w:r w:rsidR="00374062" w:rsidRPr="00951E3B">
              <w:rPr>
                <w:rFonts w:ascii="Arial" w:hAnsi="Arial" w:cs="Arial"/>
                <w:color w:val="000000" w:themeColor="text1"/>
                <w:szCs w:val="22"/>
              </w:rPr>
              <w:t xml:space="preserve"> </w:t>
            </w:r>
            <w:r w:rsidR="007D3E3D" w:rsidRPr="00951E3B">
              <w:rPr>
                <w:rFonts w:ascii="Arial" w:hAnsi="Arial" w:cs="Arial"/>
                <w:color w:val="000000" w:themeColor="text1"/>
                <w:szCs w:val="22"/>
              </w:rPr>
              <w:t xml:space="preserve">w szczególności </w:t>
            </w:r>
            <w:r w:rsidR="00374062" w:rsidRPr="00951E3B">
              <w:rPr>
                <w:rFonts w:ascii="Arial" w:hAnsi="Arial" w:cs="Arial"/>
                <w:color w:val="000000" w:themeColor="text1"/>
                <w:szCs w:val="22"/>
              </w:rPr>
              <w:t>w następującym za</w:t>
            </w:r>
            <w:r w:rsidRPr="00951E3B">
              <w:rPr>
                <w:rFonts w:ascii="Arial" w:hAnsi="Arial" w:cs="Arial"/>
                <w:color w:val="000000" w:themeColor="text1"/>
                <w:szCs w:val="22"/>
              </w:rPr>
              <w:t>kresie</w:t>
            </w:r>
            <w:r w:rsidR="001E7311" w:rsidRPr="00951E3B">
              <w:rPr>
                <w:rFonts w:ascii="Arial" w:hAnsi="Arial" w:cs="Arial"/>
                <w:color w:val="000000" w:themeColor="text1"/>
                <w:szCs w:val="22"/>
              </w:rPr>
              <w:t>:</w:t>
            </w:r>
          </w:p>
          <w:p w14:paraId="6B6C793E" w14:textId="3D15BACF" w:rsidR="001E7311" w:rsidRPr="00951E3B" w:rsidRDefault="00364EC4" w:rsidP="00070209">
            <w:pPr>
              <w:pStyle w:val="H5"/>
              <w:rPr>
                <w:rFonts w:ascii="Arial" w:hAnsi="Arial" w:cs="Arial"/>
                <w:color w:val="000000" w:themeColor="text1"/>
                <w:szCs w:val="22"/>
              </w:rPr>
            </w:pPr>
            <w:r w:rsidRPr="00951E3B">
              <w:rPr>
                <w:rFonts w:ascii="Arial" w:hAnsi="Arial" w:cs="Arial"/>
                <w:color w:val="000000" w:themeColor="text1"/>
                <w:szCs w:val="22"/>
              </w:rPr>
              <w:t>doprecyzowania podmiotów korzystających ze wsparcia (</w:t>
            </w:r>
            <w:r w:rsidR="005F493A" w:rsidRPr="00951E3B">
              <w:rPr>
                <w:rFonts w:ascii="Arial" w:hAnsi="Arial" w:cs="Arial"/>
                <w:color w:val="000000" w:themeColor="text1"/>
                <w:szCs w:val="22"/>
              </w:rPr>
              <w:t xml:space="preserve">np. </w:t>
            </w:r>
            <w:r w:rsidRPr="00951E3B">
              <w:rPr>
                <w:rFonts w:ascii="Arial" w:hAnsi="Arial" w:cs="Arial"/>
                <w:color w:val="000000" w:themeColor="text1"/>
                <w:szCs w:val="22"/>
              </w:rPr>
              <w:t>aktualnie</w:t>
            </w:r>
            <w:r w:rsidR="00ED6853" w:rsidRPr="00951E3B">
              <w:rPr>
                <w:rFonts w:ascii="Arial" w:hAnsi="Arial" w:cs="Arial"/>
                <w:color w:val="000000" w:themeColor="text1"/>
                <w:szCs w:val="22"/>
              </w:rPr>
              <w:t xml:space="preserve"> art. 8 </w:t>
            </w:r>
            <w:r w:rsidR="00EF3F4C" w:rsidRPr="00951E3B">
              <w:rPr>
                <w:rFonts w:ascii="Arial" w:hAnsi="Arial" w:cs="Arial"/>
                <w:color w:val="000000" w:themeColor="text1"/>
                <w:szCs w:val="22"/>
              </w:rPr>
              <w:t>U</w:t>
            </w:r>
            <w:r w:rsidRPr="00951E3B">
              <w:rPr>
                <w:rFonts w:ascii="Arial" w:hAnsi="Arial" w:cs="Arial"/>
                <w:color w:val="000000" w:themeColor="text1"/>
                <w:szCs w:val="22"/>
              </w:rPr>
              <w:t>staw</w:t>
            </w:r>
            <w:r w:rsidR="00ED6853" w:rsidRPr="00951E3B">
              <w:rPr>
                <w:rFonts w:ascii="Arial" w:hAnsi="Arial" w:cs="Arial"/>
                <w:color w:val="000000" w:themeColor="text1"/>
                <w:szCs w:val="22"/>
              </w:rPr>
              <w:t>y</w:t>
            </w:r>
            <w:r w:rsidRPr="00951E3B">
              <w:rPr>
                <w:rFonts w:ascii="Arial" w:hAnsi="Arial" w:cs="Arial"/>
                <w:color w:val="000000" w:themeColor="text1"/>
                <w:szCs w:val="22"/>
              </w:rPr>
              <w:t xml:space="preserve"> sformułowan</w:t>
            </w:r>
            <w:r w:rsidR="00ED6853" w:rsidRPr="00951E3B">
              <w:rPr>
                <w:rFonts w:ascii="Arial" w:hAnsi="Arial" w:cs="Arial"/>
                <w:color w:val="000000" w:themeColor="text1"/>
                <w:szCs w:val="22"/>
              </w:rPr>
              <w:t>y</w:t>
            </w:r>
            <w:r w:rsidRPr="00951E3B">
              <w:rPr>
                <w:rFonts w:ascii="Arial" w:hAnsi="Arial" w:cs="Arial"/>
                <w:color w:val="000000" w:themeColor="text1"/>
                <w:szCs w:val="22"/>
              </w:rPr>
              <w:t xml:space="preserve"> jest w ten sposób</w:t>
            </w:r>
            <w:r w:rsidR="00ED6853" w:rsidRPr="00951E3B">
              <w:rPr>
                <w:rFonts w:ascii="Arial" w:hAnsi="Arial" w:cs="Arial"/>
                <w:color w:val="000000" w:themeColor="text1"/>
                <w:szCs w:val="22"/>
              </w:rPr>
              <w:t xml:space="preserve">, że </w:t>
            </w:r>
            <w:r w:rsidR="005F493A" w:rsidRPr="00951E3B">
              <w:rPr>
                <w:rFonts w:ascii="Arial" w:hAnsi="Arial" w:cs="Arial"/>
                <w:color w:val="000000" w:themeColor="text1"/>
                <w:szCs w:val="22"/>
              </w:rPr>
              <w:t>czynności likwidacyjne dot. kopalń wykonuje się z dotacji budżetowej</w:t>
            </w:r>
            <w:r w:rsidR="0003370A" w:rsidRPr="00951E3B">
              <w:rPr>
                <w:rFonts w:ascii="Arial" w:hAnsi="Arial" w:cs="Arial"/>
                <w:color w:val="000000" w:themeColor="text1"/>
                <w:szCs w:val="22"/>
              </w:rPr>
              <w:t>,</w:t>
            </w:r>
            <w:r w:rsidR="005F493A" w:rsidRPr="00951E3B">
              <w:rPr>
                <w:rFonts w:ascii="Arial" w:hAnsi="Arial" w:cs="Arial"/>
                <w:color w:val="000000" w:themeColor="text1"/>
                <w:szCs w:val="22"/>
              </w:rPr>
              <w:t xml:space="preserve"> jeśli</w:t>
            </w:r>
            <w:r w:rsidR="00ED6853" w:rsidRPr="00951E3B">
              <w:rPr>
                <w:rFonts w:ascii="Arial" w:hAnsi="Arial" w:cs="Arial"/>
                <w:color w:val="000000" w:themeColor="text1"/>
                <w:szCs w:val="22"/>
              </w:rPr>
              <w:t xml:space="preserve"> przedsiębiorstwo rozpoczęło likwidację </w:t>
            </w:r>
            <w:r w:rsidR="009A0CFB" w:rsidRPr="00951E3B">
              <w:rPr>
                <w:rFonts w:ascii="Arial" w:hAnsi="Arial" w:cs="Arial"/>
                <w:color w:val="000000" w:themeColor="text1"/>
                <w:szCs w:val="22"/>
              </w:rPr>
              <w:t xml:space="preserve">jednostki produkcyjnej </w:t>
            </w:r>
            <w:r w:rsidR="00ED6853" w:rsidRPr="00951E3B">
              <w:rPr>
                <w:rFonts w:ascii="Arial" w:hAnsi="Arial" w:cs="Arial"/>
                <w:color w:val="000000" w:themeColor="text1"/>
                <w:szCs w:val="22"/>
              </w:rPr>
              <w:t xml:space="preserve">przed 1 stycznia 2019r.), </w:t>
            </w:r>
          </w:p>
          <w:p w14:paraId="1039E034" w14:textId="05AC595D" w:rsidR="00ED6853" w:rsidRPr="00951E3B" w:rsidRDefault="00ED6853" w:rsidP="00070209">
            <w:pPr>
              <w:pStyle w:val="H5"/>
              <w:rPr>
                <w:rFonts w:ascii="Arial" w:hAnsi="Arial" w:cs="Arial"/>
                <w:color w:val="000000" w:themeColor="text1"/>
                <w:szCs w:val="22"/>
              </w:rPr>
            </w:pPr>
            <w:r w:rsidRPr="00951E3B">
              <w:rPr>
                <w:rFonts w:ascii="Arial" w:hAnsi="Arial" w:cs="Arial"/>
                <w:color w:val="000000" w:themeColor="text1"/>
                <w:szCs w:val="22"/>
              </w:rPr>
              <w:t xml:space="preserve">uwzględnienia, że jednostkę produkcyjną likwidować może </w:t>
            </w:r>
            <w:r w:rsidR="001E7311" w:rsidRPr="00951E3B">
              <w:rPr>
                <w:rFonts w:ascii="Arial" w:hAnsi="Arial" w:cs="Arial"/>
                <w:color w:val="000000" w:themeColor="text1"/>
                <w:szCs w:val="22"/>
              </w:rPr>
              <w:t xml:space="preserve">także </w:t>
            </w:r>
            <w:r w:rsidRPr="00951E3B">
              <w:rPr>
                <w:rFonts w:ascii="Arial" w:hAnsi="Arial" w:cs="Arial"/>
                <w:color w:val="000000" w:themeColor="text1"/>
                <w:szCs w:val="22"/>
              </w:rPr>
              <w:t>jej dotychczasowy właściciel - przedsiębiorstwo produkcyjne</w:t>
            </w:r>
            <w:r w:rsidR="005F493A" w:rsidRPr="00951E3B">
              <w:rPr>
                <w:rFonts w:ascii="Arial" w:hAnsi="Arial" w:cs="Arial"/>
                <w:color w:val="000000" w:themeColor="text1"/>
                <w:szCs w:val="22"/>
              </w:rPr>
              <w:t>,</w:t>
            </w:r>
            <w:r w:rsidR="00AA75C4" w:rsidRPr="00951E3B">
              <w:rPr>
                <w:rFonts w:ascii="Arial" w:hAnsi="Arial" w:cs="Arial"/>
                <w:color w:val="000000" w:themeColor="text1"/>
                <w:szCs w:val="22"/>
              </w:rPr>
              <w:t xml:space="preserve"> </w:t>
            </w:r>
            <w:r w:rsidR="005F493A" w:rsidRPr="00951E3B">
              <w:rPr>
                <w:rFonts w:ascii="Arial" w:hAnsi="Arial" w:cs="Arial"/>
                <w:color w:val="000000" w:themeColor="text1"/>
                <w:szCs w:val="22"/>
              </w:rPr>
              <w:t>a tym samym także to przedsiębiorstwo może korzystać ze wsparcia w ramach Ustawy</w:t>
            </w:r>
            <w:r w:rsidRPr="00951E3B">
              <w:rPr>
                <w:rFonts w:ascii="Arial" w:hAnsi="Arial" w:cs="Arial"/>
                <w:color w:val="000000" w:themeColor="text1"/>
                <w:szCs w:val="22"/>
              </w:rPr>
              <w:t xml:space="preserve"> (a więc niewiązanie kwestii likwidacji kopalni i jej finansowania z dotacji jedynie z przekazaniem tej jednostki między podmiotami w celu likwidacji – aktualnie wiele uprawnień/zwolnień/ulg </w:t>
            </w:r>
            <w:r w:rsidR="001E7311" w:rsidRPr="00951E3B">
              <w:rPr>
                <w:rFonts w:ascii="Arial" w:hAnsi="Arial" w:cs="Arial"/>
                <w:color w:val="000000" w:themeColor="text1"/>
                <w:szCs w:val="22"/>
              </w:rPr>
              <w:t xml:space="preserve">występujących w </w:t>
            </w:r>
            <w:r w:rsidR="00795CE6" w:rsidRPr="00951E3B">
              <w:rPr>
                <w:rFonts w:ascii="Arial" w:hAnsi="Arial" w:cs="Arial"/>
                <w:color w:val="000000" w:themeColor="text1"/>
                <w:szCs w:val="22"/>
              </w:rPr>
              <w:t>U</w:t>
            </w:r>
            <w:r w:rsidR="001E7311" w:rsidRPr="00951E3B">
              <w:rPr>
                <w:rFonts w:ascii="Arial" w:hAnsi="Arial" w:cs="Arial"/>
                <w:color w:val="000000" w:themeColor="text1"/>
                <w:szCs w:val="22"/>
              </w:rPr>
              <w:t xml:space="preserve">stawie </w:t>
            </w:r>
            <w:r w:rsidRPr="00951E3B">
              <w:rPr>
                <w:rFonts w:ascii="Arial" w:hAnsi="Arial" w:cs="Arial"/>
                <w:color w:val="000000" w:themeColor="text1"/>
                <w:szCs w:val="22"/>
              </w:rPr>
              <w:t xml:space="preserve">powiązanych jest z „przekazaniem” jednostki lub „nabyciem” jednostki i w oparciu o taki schemat skonstruowane są przepisy </w:t>
            </w:r>
            <w:r w:rsidR="00795CE6" w:rsidRPr="00951E3B">
              <w:rPr>
                <w:rFonts w:ascii="Arial" w:hAnsi="Arial" w:cs="Arial"/>
                <w:color w:val="000000" w:themeColor="text1"/>
                <w:szCs w:val="22"/>
              </w:rPr>
              <w:t>U</w:t>
            </w:r>
            <w:r w:rsidRPr="00951E3B">
              <w:rPr>
                <w:rFonts w:ascii="Arial" w:hAnsi="Arial" w:cs="Arial"/>
                <w:color w:val="000000" w:themeColor="text1"/>
                <w:szCs w:val="22"/>
              </w:rPr>
              <w:t>stawy w kontekście kwalifikacji do zwolnień w stosunku do NFOŚ</w:t>
            </w:r>
            <w:r w:rsidR="00E970C7" w:rsidRPr="00951E3B">
              <w:rPr>
                <w:rFonts w:ascii="Arial" w:hAnsi="Arial" w:cs="Arial"/>
                <w:color w:val="000000" w:themeColor="text1"/>
                <w:szCs w:val="22"/>
              </w:rPr>
              <w:t>iGW</w:t>
            </w:r>
            <w:r w:rsidRPr="00951E3B">
              <w:rPr>
                <w:rFonts w:ascii="Arial" w:hAnsi="Arial" w:cs="Arial"/>
                <w:color w:val="000000" w:themeColor="text1"/>
                <w:szCs w:val="22"/>
              </w:rPr>
              <w:t>, PGW Wody Polskie, zwolnień z wpłat z zysku</w:t>
            </w:r>
            <w:r w:rsidR="00AA75C4" w:rsidRPr="00951E3B">
              <w:rPr>
                <w:rFonts w:ascii="Arial" w:hAnsi="Arial" w:cs="Arial"/>
                <w:color w:val="000000" w:themeColor="text1"/>
                <w:szCs w:val="22"/>
              </w:rPr>
              <w:t xml:space="preserve">, uprawnienia do urlopów </w:t>
            </w:r>
            <w:r w:rsidR="001B1069" w:rsidRPr="00951E3B">
              <w:rPr>
                <w:rFonts w:ascii="Arial" w:hAnsi="Arial" w:cs="Arial"/>
                <w:color w:val="000000" w:themeColor="text1"/>
                <w:szCs w:val="22"/>
              </w:rPr>
              <w:t>w okresie</w:t>
            </w:r>
            <w:r w:rsidR="00AA75C4" w:rsidRPr="00951E3B">
              <w:rPr>
                <w:rFonts w:ascii="Arial" w:hAnsi="Arial" w:cs="Arial"/>
                <w:color w:val="000000" w:themeColor="text1"/>
                <w:szCs w:val="22"/>
              </w:rPr>
              <w:t xml:space="preserve"> likwidacji </w:t>
            </w:r>
            <w:r w:rsidR="00941B4F" w:rsidRPr="00951E3B">
              <w:rPr>
                <w:rFonts w:ascii="Arial" w:hAnsi="Arial" w:cs="Arial"/>
                <w:color w:val="000000" w:themeColor="text1"/>
                <w:szCs w:val="22"/>
              </w:rPr>
              <w:t xml:space="preserve">jednostki produkcyjnej </w:t>
            </w:r>
            <w:r w:rsidR="00AA75C4" w:rsidRPr="00951E3B">
              <w:rPr>
                <w:rFonts w:ascii="Arial" w:hAnsi="Arial" w:cs="Arial"/>
                <w:color w:val="000000" w:themeColor="text1"/>
                <w:szCs w:val="22"/>
              </w:rPr>
              <w:t>nabytej po 1 stycznia 2015 r.</w:t>
            </w:r>
            <w:r w:rsidRPr="00951E3B">
              <w:rPr>
                <w:rFonts w:ascii="Arial" w:hAnsi="Arial" w:cs="Arial"/>
                <w:color w:val="000000" w:themeColor="text1"/>
                <w:szCs w:val="22"/>
              </w:rPr>
              <w:t xml:space="preserve"> itp.), </w:t>
            </w:r>
          </w:p>
          <w:p w14:paraId="0A569B0C" w14:textId="741797C4" w:rsidR="00603127" w:rsidRPr="00951E3B" w:rsidRDefault="001E7311" w:rsidP="00070209">
            <w:pPr>
              <w:pStyle w:val="H5"/>
              <w:rPr>
                <w:rFonts w:ascii="Arial" w:hAnsi="Arial" w:cs="Arial"/>
                <w:color w:val="000000" w:themeColor="text1"/>
                <w:szCs w:val="22"/>
              </w:rPr>
            </w:pPr>
            <w:r w:rsidRPr="00951E3B">
              <w:rPr>
                <w:rFonts w:ascii="Arial" w:hAnsi="Arial" w:cs="Arial"/>
                <w:color w:val="000000" w:themeColor="text1"/>
                <w:szCs w:val="22"/>
              </w:rPr>
              <w:t xml:space="preserve">jednoznaczne wskazanie możliwości otrzymywania dotacji na dopłaty do redukcji zdolności produkcyjnych w kolejnych latach, zgodnie z </w:t>
            </w:r>
            <w:r w:rsidR="009A0CFB" w:rsidRPr="00951E3B">
              <w:rPr>
                <w:rFonts w:ascii="Arial" w:hAnsi="Arial" w:cs="Arial"/>
                <w:color w:val="000000" w:themeColor="text1"/>
                <w:szCs w:val="22"/>
              </w:rPr>
              <w:t>S</w:t>
            </w:r>
            <w:r w:rsidRPr="00951E3B">
              <w:rPr>
                <w:rFonts w:ascii="Arial" w:hAnsi="Arial" w:cs="Arial"/>
                <w:color w:val="000000" w:themeColor="text1"/>
                <w:szCs w:val="22"/>
              </w:rPr>
              <w:t>ystem</w:t>
            </w:r>
            <w:r w:rsidR="009A0CFB" w:rsidRPr="00951E3B">
              <w:rPr>
                <w:rFonts w:ascii="Arial" w:hAnsi="Arial" w:cs="Arial"/>
                <w:color w:val="000000" w:themeColor="text1"/>
                <w:szCs w:val="22"/>
              </w:rPr>
              <w:t>em</w:t>
            </w:r>
            <w:r w:rsidR="007D3E3D" w:rsidRPr="00951E3B">
              <w:rPr>
                <w:rFonts w:ascii="Arial" w:hAnsi="Arial" w:cs="Arial"/>
                <w:color w:val="000000" w:themeColor="text1"/>
                <w:szCs w:val="22"/>
              </w:rPr>
              <w:t xml:space="preserve"> </w:t>
            </w:r>
            <w:r w:rsidR="009A0CFB" w:rsidRPr="00951E3B">
              <w:rPr>
                <w:rFonts w:ascii="Arial" w:hAnsi="Arial" w:cs="Arial"/>
                <w:color w:val="000000" w:themeColor="text1"/>
                <w:szCs w:val="22"/>
              </w:rPr>
              <w:t xml:space="preserve">Wsparcia </w:t>
            </w:r>
            <w:r w:rsidR="007D3E3D" w:rsidRPr="00951E3B">
              <w:rPr>
                <w:rFonts w:ascii="Arial" w:hAnsi="Arial" w:cs="Arial"/>
                <w:color w:val="000000" w:themeColor="text1"/>
                <w:szCs w:val="22"/>
              </w:rPr>
              <w:t xml:space="preserve">i </w:t>
            </w:r>
            <w:r w:rsidR="009A0CFB" w:rsidRPr="00951E3B">
              <w:rPr>
                <w:rFonts w:ascii="Arial" w:hAnsi="Arial" w:cs="Arial"/>
                <w:color w:val="000000" w:themeColor="text1"/>
                <w:szCs w:val="22"/>
              </w:rPr>
              <w:t xml:space="preserve">jego </w:t>
            </w:r>
            <w:r w:rsidR="007D3E3D" w:rsidRPr="00951E3B">
              <w:rPr>
                <w:rFonts w:ascii="Arial" w:hAnsi="Arial" w:cs="Arial"/>
                <w:color w:val="000000" w:themeColor="text1"/>
                <w:szCs w:val="22"/>
              </w:rPr>
              <w:t>szczegółow</w:t>
            </w:r>
            <w:r w:rsidR="009A0CFB" w:rsidRPr="00951E3B">
              <w:rPr>
                <w:rFonts w:ascii="Arial" w:hAnsi="Arial" w:cs="Arial"/>
                <w:color w:val="000000" w:themeColor="text1"/>
                <w:szCs w:val="22"/>
              </w:rPr>
              <w:t>ymi</w:t>
            </w:r>
            <w:r w:rsidR="007D3E3D" w:rsidRPr="00951E3B">
              <w:rPr>
                <w:rFonts w:ascii="Arial" w:hAnsi="Arial" w:cs="Arial"/>
                <w:color w:val="000000" w:themeColor="text1"/>
                <w:szCs w:val="22"/>
              </w:rPr>
              <w:t xml:space="preserve"> zasad</w:t>
            </w:r>
            <w:r w:rsidR="009A0CFB" w:rsidRPr="00951E3B">
              <w:rPr>
                <w:rFonts w:ascii="Arial" w:hAnsi="Arial" w:cs="Arial"/>
                <w:color w:val="000000" w:themeColor="text1"/>
                <w:szCs w:val="22"/>
              </w:rPr>
              <w:t>ami</w:t>
            </w:r>
            <w:r w:rsidR="00CD6E6E" w:rsidRPr="00951E3B">
              <w:rPr>
                <w:rFonts w:ascii="Arial" w:hAnsi="Arial" w:cs="Arial"/>
                <w:color w:val="000000" w:themeColor="text1"/>
                <w:szCs w:val="22"/>
              </w:rPr>
              <w:t>,</w:t>
            </w:r>
          </w:p>
          <w:p w14:paraId="0925A2BA" w14:textId="3E0F11F6" w:rsidR="001E7311" w:rsidRPr="00951E3B" w:rsidRDefault="00603127" w:rsidP="00070209">
            <w:pPr>
              <w:pStyle w:val="H5"/>
              <w:rPr>
                <w:rFonts w:ascii="Arial" w:hAnsi="Arial" w:cs="Arial"/>
                <w:color w:val="000000" w:themeColor="text1"/>
                <w:szCs w:val="22"/>
              </w:rPr>
            </w:pPr>
            <w:r w:rsidRPr="00951E3B">
              <w:rPr>
                <w:rFonts w:ascii="Arial" w:hAnsi="Arial" w:cs="Arial"/>
                <w:color w:val="000000" w:themeColor="text1"/>
                <w:szCs w:val="22"/>
              </w:rPr>
              <w:t xml:space="preserve">dostosowania kosztów pokrywanych z dotacji a przewidzianych w Ustawie do </w:t>
            </w:r>
            <w:r w:rsidR="009A0CFB" w:rsidRPr="00951E3B">
              <w:rPr>
                <w:rFonts w:ascii="Arial" w:hAnsi="Arial" w:cs="Arial"/>
                <w:color w:val="000000" w:themeColor="text1"/>
                <w:szCs w:val="22"/>
              </w:rPr>
              <w:t>S</w:t>
            </w:r>
            <w:r w:rsidRPr="00951E3B">
              <w:rPr>
                <w:rFonts w:ascii="Arial" w:hAnsi="Arial" w:cs="Arial"/>
                <w:color w:val="000000" w:themeColor="text1"/>
                <w:szCs w:val="22"/>
              </w:rPr>
              <w:t xml:space="preserve">ystemu </w:t>
            </w:r>
            <w:r w:rsidR="009A0CFB" w:rsidRPr="00951E3B">
              <w:rPr>
                <w:rFonts w:ascii="Arial" w:hAnsi="Arial" w:cs="Arial"/>
                <w:color w:val="000000" w:themeColor="text1"/>
                <w:szCs w:val="22"/>
              </w:rPr>
              <w:t xml:space="preserve">Wsparcia </w:t>
            </w:r>
            <w:r w:rsidRPr="00951E3B">
              <w:rPr>
                <w:rFonts w:ascii="Arial" w:hAnsi="Arial" w:cs="Arial"/>
                <w:color w:val="000000" w:themeColor="text1"/>
                <w:szCs w:val="22"/>
              </w:rPr>
              <w:t>i jego czasookresu</w:t>
            </w:r>
            <w:r w:rsidR="00AA75C4" w:rsidRPr="00951E3B">
              <w:rPr>
                <w:rFonts w:ascii="Arial" w:hAnsi="Arial" w:cs="Arial"/>
                <w:color w:val="000000" w:themeColor="text1"/>
                <w:szCs w:val="22"/>
              </w:rPr>
              <w:t xml:space="preserve"> (przykładowo</w:t>
            </w:r>
            <w:r w:rsidR="0003370A" w:rsidRPr="00951E3B">
              <w:rPr>
                <w:rFonts w:ascii="Arial" w:hAnsi="Arial" w:cs="Arial"/>
                <w:color w:val="000000" w:themeColor="text1"/>
                <w:szCs w:val="22"/>
              </w:rPr>
              <w:t>,</w:t>
            </w:r>
            <w:r w:rsidR="00AA75C4" w:rsidRPr="00951E3B">
              <w:rPr>
                <w:rFonts w:ascii="Arial" w:hAnsi="Arial" w:cs="Arial"/>
                <w:color w:val="000000" w:themeColor="text1"/>
                <w:szCs w:val="22"/>
              </w:rPr>
              <w:t xml:space="preserve"> aktualnie</w:t>
            </w:r>
            <w:r w:rsidR="0003370A" w:rsidRPr="00951E3B">
              <w:rPr>
                <w:rFonts w:ascii="Arial" w:hAnsi="Arial" w:cs="Arial"/>
                <w:color w:val="000000" w:themeColor="text1"/>
                <w:szCs w:val="22"/>
              </w:rPr>
              <w:t>,</w:t>
            </w:r>
            <w:r w:rsidR="00AA75C4" w:rsidRPr="00951E3B">
              <w:rPr>
                <w:rFonts w:ascii="Arial" w:hAnsi="Arial" w:cs="Arial"/>
                <w:color w:val="000000" w:themeColor="text1"/>
                <w:szCs w:val="22"/>
              </w:rPr>
              <w:t xml:space="preserve"> zgodnie z art. 11d Ustawy</w:t>
            </w:r>
            <w:r w:rsidR="0003370A" w:rsidRPr="00951E3B">
              <w:rPr>
                <w:rFonts w:ascii="Arial" w:hAnsi="Arial" w:cs="Arial"/>
                <w:color w:val="000000" w:themeColor="text1"/>
                <w:szCs w:val="22"/>
              </w:rPr>
              <w:t>,</w:t>
            </w:r>
            <w:r w:rsidR="00AA75C4" w:rsidRPr="00951E3B">
              <w:rPr>
                <w:rFonts w:ascii="Arial" w:hAnsi="Arial" w:cs="Arial"/>
                <w:color w:val="000000" w:themeColor="text1"/>
                <w:szCs w:val="22"/>
              </w:rPr>
              <w:t xml:space="preserve"> jednorazowa odprawa pieniężna przysługuje pracownikom, z którymi </w:t>
            </w:r>
            <w:r w:rsidR="00AA75C4" w:rsidRPr="00951E3B">
              <w:rPr>
                <w:rFonts w:ascii="Arial" w:hAnsi="Arial" w:cs="Arial"/>
                <w:color w:val="000000" w:themeColor="text1"/>
                <w:szCs w:val="22"/>
              </w:rPr>
              <w:lastRenderedPageBreak/>
              <w:t>rozwiązywana jest za porozumieniem stron umowa o pracę po dniu 1 stycznia 2015 r. nie później jednak niż do dnia 31 grudnia 201</w:t>
            </w:r>
            <w:r w:rsidR="002B1547" w:rsidRPr="00951E3B">
              <w:rPr>
                <w:rFonts w:ascii="Arial" w:hAnsi="Arial" w:cs="Arial"/>
                <w:color w:val="000000" w:themeColor="text1"/>
                <w:szCs w:val="22"/>
              </w:rPr>
              <w:t>8</w:t>
            </w:r>
            <w:r w:rsidR="00AA75C4" w:rsidRPr="00951E3B">
              <w:rPr>
                <w:rFonts w:ascii="Arial" w:hAnsi="Arial" w:cs="Arial"/>
                <w:color w:val="000000" w:themeColor="text1"/>
                <w:szCs w:val="22"/>
              </w:rPr>
              <w:t xml:space="preserve"> r., zatrudnionym na dzień </w:t>
            </w:r>
            <w:r w:rsidR="002B1547" w:rsidRPr="00951E3B">
              <w:rPr>
                <w:rFonts w:ascii="Arial" w:hAnsi="Arial" w:cs="Arial"/>
                <w:color w:val="000000" w:themeColor="text1"/>
                <w:szCs w:val="22"/>
              </w:rPr>
              <w:t>zbycia, o którym mowa w art. 8a ust. 1 Ustawy tj. przed 1 stycznia 2019 r.</w:t>
            </w:r>
            <w:r w:rsidR="00AA75C4" w:rsidRPr="00951E3B">
              <w:rPr>
                <w:rFonts w:ascii="Arial" w:hAnsi="Arial" w:cs="Arial"/>
                <w:color w:val="000000" w:themeColor="text1"/>
                <w:szCs w:val="22"/>
              </w:rPr>
              <w:t xml:space="preserve">, </w:t>
            </w:r>
            <w:r w:rsidR="002B1547" w:rsidRPr="00951E3B">
              <w:rPr>
                <w:rFonts w:ascii="Arial" w:hAnsi="Arial" w:cs="Arial"/>
                <w:color w:val="000000" w:themeColor="text1"/>
                <w:szCs w:val="22"/>
              </w:rPr>
              <w:t xml:space="preserve">lub też </w:t>
            </w:r>
            <w:r w:rsidR="00AA75C4" w:rsidRPr="00951E3B">
              <w:rPr>
                <w:rFonts w:ascii="Arial" w:hAnsi="Arial" w:cs="Arial"/>
                <w:color w:val="000000" w:themeColor="text1"/>
                <w:szCs w:val="22"/>
              </w:rPr>
              <w:t>zgodnie z art. 14</w:t>
            </w:r>
            <w:r w:rsidR="001B1069" w:rsidRPr="00951E3B">
              <w:rPr>
                <w:rFonts w:ascii="Arial" w:hAnsi="Arial" w:cs="Arial"/>
                <w:color w:val="000000" w:themeColor="text1"/>
                <w:szCs w:val="22"/>
              </w:rPr>
              <w:t xml:space="preserve"> Ustawy</w:t>
            </w:r>
            <w:r w:rsidR="00AA75C4" w:rsidRPr="00951E3B">
              <w:rPr>
                <w:rFonts w:ascii="Arial" w:hAnsi="Arial" w:cs="Arial"/>
                <w:color w:val="000000" w:themeColor="text1"/>
                <w:szCs w:val="22"/>
              </w:rPr>
              <w:t xml:space="preserve"> renta wyrównawcza przyzna</w:t>
            </w:r>
            <w:r w:rsidR="001B1069" w:rsidRPr="00951E3B">
              <w:rPr>
                <w:rFonts w:ascii="Arial" w:hAnsi="Arial" w:cs="Arial"/>
                <w:color w:val="000000" w:themeColor="text1"/>
                <w:szCs w:val="22"/>
              </w:rPr>
              <w:t>na</w:t>
            </w:r>
            <w:r w:rsidR="00AA75C4" w:rsidRPr="00951E3B">
              <w:rPr>
                <w:rFonts w:ascii="Arial" w:hAnsi="Arial" w:cs="Arial"/>
                <w:color w:val="000000" w:themeColor="text1"/>
                <w:szCs w:val="22"/>
              </w:rPr>
              <w:t xml:space="preserve"> na podstawie prawomocnego wyroku sądu lub ugody zawartej przed sądem albo ugody zawartej między kopalnią a pracownikiem lub byłym pracownikiem jest wypłacana z dotacji pracownikom lub byłym pracownikom kopalni postawionej w stan likwidacji przed dniem 1 stycznia 2019 r.)</w:t>
            </w:r>
            <w:r w:rsidR="001E7311" w:rsidRPr="00951E3B">
              <w:rPr>
                <w:rFonts w:ascii="Arial" w:hAnsi="Arial" w:cs="Arial"/>
                <w:color w:val="000000" w:themeColor="text1"/>
                <w:szCs w:val="22"/>
              </w:rPr>
              <w:t>.</w:t>
            </w:r>
          </w:p>
          <w:p w14:paraId="2A925AEC" w14:textId="605E1DFE" w:rsidR="007D3E3D" w:rsidRPr="00951E3B" w:rsidRDefault="001E7311" w:rsidP="00070209">
            <w:pPr>
              <w:pStyle w:val="H2"/>
              <w:rPr>
                <w:rFonts w:ascii="Arial" w:hAnsi="Arial" w:cs="Arial"/>
                <w:color w:val="000000" w:themeColor="text1"/>
                <w:szCs w:val="22"/>
              </w:rPr>
            </w:pPr>
            <w:r w:rsidRPr="00951E3B">
              <w:rPr>
                <w:rFonts w:ascii="Arial" w:hAnsi="Arial" w:cs="Arial"/>
                <w:color w:val="000000" w:themeColor="text1"/>
                <w:szCs w:val="22"/>
              </w:rPr>
              <w:t xml:space="preserve">Ustawa </w:t>
            </w:r>
            <w:r w:rsidR="00C8368E" w:rsidRPr="00951E3B">
              <w:rPr>
                <w:rFonts w:ascii="Arial" w:hAnsi="Arial" w:cs="Arial"/>
                <w:color w:val="000000" w:themeColor="text1"/>
                <w:szCs w:val="22"/>
              </w:rPr>
              <w:t xml:space="preserve">i właściwe akty wykonawcze będą wskazywały </w:t>
            </w:r>
            <w:r w:rsidRPr="00951E3B">
              <w:rPr>
                <w:rFonts w:ascii="Arial" w:hAnsi="Arial" w:cs="Arial"/>
                <w:color w:val="000000" w:themeColor="text1"/>
                <w:szCs w:val="22"/>
              </w:rPr>
              <w:t>katalog kosztów, jakie będą po</w:t>
            </w:r>
            <w:r w:rsidR="00374062" w:rsidRPr="00951E3B">
              <w:rPr>
                <w:rFonts w:ascii="Arial" w:hAnsi="Arial" w:cs="Arial"/>
                <w:color w:val="000000" w:themeColor="text1"/>
                <w:szCs w:val="22"/>
              </w:rPr>
              <w:t>k</w:t>
            </w:r>
            <w:r w:rsidRPr="00951E3B">
              <w:rPr>
                <w:rFonts w:ascii="Arial" w:hAnsi="Arial" w:cs="Arial"/>
                <w:color w:val="000000" w:themeColor="text1"/>
                <w:szCs w:val="22"/>
              </w:rPr>
              <w:t xml:space="preserve">rywane </w:t>
            </w:r>
            <w:r w:rsidR="007D3E3D" w:rsidRPr="00951E3B">
              <w:rPr>
                <w:rFonts w:ascii="Arial" w:hAnsi="Arial" w:cs="Arial"/>
                <w:color w:val="000000" w:themeColor="text1"/>
                <w:szCs w:val="22"/>
              </w:rPr>
              <w:t xml:space="preserve">w ramach wsparcia publicznego (instrumenty wsparcia) </w:t>
            </w:r>
            <w:r w:rsidR="00C8368E" w:rsidRPr="00951E3B">
              <w:rPr>
                <w:rFonts w:ascii="Arial" w:hAnsi="Arial" w:cs="Arial"/>
                <w:color w:val="000000" w:themeColor="text1"/>
                <w:szCs w:val="22"/>
              </w:rPr>
              <w:t xml:space="preserve">przez </w:t>
            </w:r>
            <w:r w:rsidR="00941B4F" w:rsidRPr="00951E3B">
              <w:rPr>
                <w:rFonts w:ascii="Arial" w:hAnsi="Arial" w:cs="Arial"/>
                <w:color w:val="000000" w:themeColor="text1"/>
                <w:szCs w:val="22"/>
              </w:rPr>
              <w:t>S</w:t>
            </w:r>
            <w:r w:rsidR="00374062" w:rsidRPr="00951E3B">
              <w:rPr>
                <w:rFonts w:ascii="Arial" w:hAnsi="Arial" w:cs="Arial"/>
                <w:color w:val="000000" w:themeColor="text1"/>
                <w:szCs w:val="22"/>
              </w:rPr>
              <w:t xml:space="preserve">ystem </w:t>
            </w:r>
            <w:r w:rsidR="00941B4F" w:rsidRPr="00951E3B">
              <w:rPr>
                <w:rFonts w:ascii="Arial" w:hAnsi="Arial" w:cs="Arial"/>
                <w:color w:val="000000" w:themeColor="text1"/>
                <w:szCs w:val="22"/>
              </w:rPr>
              <w:t>W</w:t>
            </w:r>
            <w:r w:rsidR="00374062" w:rsidRPr="00951E3B">
              <w:rPr>
                <w:rFonts w:ascii="Arial" w:hAnsi="Arial" w:cs="Arial"/>
                <w:color w:val="000000" w:themeColor="text1"/>
                <w:szCs w:val="22"/>
              </w:rPr>
              <w:t xml:space="preserve">sparcia, analogicznie jak wskazuje w chwili obecnej. </w:t>
            </w:r>
          </w:p>
          <w:p w14:paraId="11A2A2B1" w14:textId="249A7DFC" w:rsidR="00364EC4" w:rsidRPr="00951E3B" w:rsidRDefault="00ED6853" w:rsidP="00070209">
            <w:pPr>
              <w:pStyle w:val="H2"/>
              <w:rPr>
                <w:rFonts w:ascii="Arial" w:hAnsi="Arial" w:cs="Arial"/>
                <w:color w:val="000000" w:themeColor="text1"/>
                <w:szCs w:val="22"/>
              </w:rPr>
            </w:pPr>
            <w:r w:rsidRPr="00951E3B">
              <w:rPr>
                <w:rFonts w:ascii="Arial" w:hAnsi="Arial" w:cs="Arial"/>
                <w:color w:val="000000" w:themeColor="text1"/>
                <w:szCs w:val="22"/>
              </w:rPr>
              <w:t xml:space="preserve">Szczegółowe zasady </w:t>
            </w:r>
            <w:r w:rsidR="00E970C7" w:rsidRPr="00951E3B">
              <w:rPr>
                <w:rFonts w:ascii="Arial" w:hAnsi="Arial" w:cs="Arial"/>
                <w:color w:val="000000" w:themeColor="text1"/>
                <w:szCs w:val="22"/>
              </w:rPr>
              <w:t xml:space="preserve">przekazywania </w:t>
            </w:r>
            <w:r w:rsidRPr="00951E3B">
              <w:rPr>
                <w:rFonts w:ascii="Arial" w:hAnsi="Arial" w:cs="Arial"/>
                <w:color w:val="000000" w:themeColor="text1"/>
                <w:szCs w:val="22"/>
              </w:rPr>
              <w:t xml:space="preserve">oraz rozliczania </w:t>
            </w:r>
            <w:r w:rsidR="00B42788" w:rsidRPr="00951E3B">
              <w:rPr>
                <w:rFonts w:ascii="Arial" w:hAnsi="Arial" w:cs="Arial"/>
                <w:color w:val="000000" w:themeColor="text1"/>
                <w:szCs w:val="22"/>
              </w:rPr>
              <w:t xml:space="preserve">przyznanych </w:t>
            </w:r>
            <w:r w:rsidR="001E7311" w:rsidRPr="00951E3B">
              <w:rPr>
                <w:rFonts w:ascii="Arial" w:hAnsi="Arial" w:cs="Arial"/>
                <w:color w:val="000000" w:themeColor="text1"/>
                <w:szCs w:val="22"/>
              </w:rPr>
              <w:t xml:space="preserve">dotacji będą zawarte w rozporządzeniach do </w:t>
            </w:r>
            <w:r w:rsidR="00603127" w:rsidRPr="00951E3B">
              <w:rPr>
                <w:rFonts w:ascii="Arial" w:hAnsi="Arial" w:cs="Arial"/>
                <w:color w:val="000000" w:themeColor="text1"/>
                <w:szCs w:val="22"/>
              </w:rPr>
              <w:t>U</w:t>
            </w:r>
            <w:r w:rsidR="001E7311" w:rsidRPr="00951E3B">
              <w:rPr>
                <w:rFonts w:ascii="Arial" w:hAnsi="Arial" w:cs="Arial"/>
                <w:color w:val="000000" w:themeColor="text1"/>
                <w:szCs w:val="22"/>
              </w:rPr>
              <w:t>stawy, analogicznie jak w przypadku zasad</w:t>
            </w:r>
            <w:r w:rsidR="00603127" w:rsidRPr="00951E3B">
              <w:rPr>
                <w:rFonts w:ascii="Arial" w:hAnsi="Arial" w:cs="Arial"/>
                <w:color w:val="000000" w:themeColor="text1"/>
                <w:szCs w:val="22"/>
              </w:rPr>
              <w:t>,</w:t>
            </w:r>
            <w:r w:rsidR="001E7311" w:rsidRPr="00951E3B">
              <w:rPr>
                <w:rFonts w:ascii="Arial" w:hAnsi="Arial" w:cs="Arial"/>
                <w:color w:val="000000" w:themeColor="text1"/>
                <w:szCs w:val="22"/>
              </w:rPr>
              <w:t xml:space="preserve"> wg jakich obecnie funkcjonuje i rozlicza środki SRK.</w:t>
            </w:r>
          </w:p>
          <w:p w14:paraId="19A61A56" w14:textId="789F538F" w:rsidR="00E428B7" w:rsidRPr="00951E3B" w:rsidRDefault="00E428B7" w:rsidP="00070209">
            <w:pPr>
              <w:pStyle w:val="H1"/>
              <w:rPr>
                <w:rFonts w:ascii="Arial" w:hAnsi="Arial" w:cs="Arial"/>
                <w:color w:val="000000" w:themeColor="text1"/>
                <w:szCs w:val="22"/>
              </w:rPr>
            </w:pPr>
            <w:r w:rsidRPr="00951E3B">
              <w:rPr>
                <w:rFonts w:ascii="Arial" w:hAnsi="Arial" w:cs="Arial"/>
                <w:color w:val="000000" w:themeColor="text1"/>
                <w:szCs w:val="22"/>
              </w:rPr>
              <w:t>Pomoc na koszty nadzwyczajne</w:t>
            </w:r>
          </w:p>
          <w:p w14:paraId="7D9E534D" w14:textId="15B17B95" w:rsidR="00B07A37" w:rsidRPr="00951E3B" w:rsidRDefault="004F7997" w:rsidP="00070209">
            <w:pPr>
              <w:pStyle w:val="H2"/>
              <w:rPr>
                <w:rFonts w:ascii="Arial" w:hAnsi="Arial" w:cs="Arial"/>
                <w:color w:val="000000" w:themeColor="text1"/>
                <w:szCs w:val="22"/>
              </w:rPr>
            </w:pPr>
            <w:r w:rsidRPr="00951E3B">
              <w:rPr>
                <w:rFonts w:ascii="Arial" w:hAnsi="Arial" w:cs="Arial"/>
                <w:color w:val="000000" w:themeColor="text1"/>
                <w:szCs w:val="22"/>
              </w:rPr>
              <w:t xml:space="preserve">Przedsiębiorstwo </w:t>
            </w:r>
            <w:r w:rsidR="000A52BD" w:rsidRPr="00951E3B">
              <w:rPr>
                <w:rFonts w:ascii="Arial" w:hAnsi="Arial" w:cs="Arial"/>
                <w:color w:val="000000" w:themeColor="text1"/>
                <w:szCs w:val="22"/>
              </w:rPr>
              <w:t xml:space="preserve">prowadzące likwidację </w:t>
            </w:r>
            <w:r w:rsidR="00941B4F" w:rsidRPr="00951E3B">
              <w:rPr>
                <w:rFonts w:ascii="Arial" w:hAnsi="Arial" w:cs="Arial"/>
                <w:color w:val="000000" w:themeColor="text1"/>
                <w:szCs w:val="22"/>
              </w:rPr>
              <w:t xml:space="preserve">jednostki produkcyjnej </w:t>
            </w:r>
            <w:r w:rsidR="000A52BD" w:rsidRPr="00951E3B">
              <w:rPr>
                <w:rFonts w:ascii="Arial" w:hAnsi="Arial" w:cs="Arial"/>
                <w:color w:val="000000" w:themeColor="text1"/>
                <w:szCs w:val="22"/>
              </w:rPr>
              <w:t>będzie mogło korzystać z dotacji na pokrywanie kosztów wynikających z tej likwidacji</w:t>
            </w:r>
            <w:r w:rsidR="007D3E3D" w:rsidRPr="00951E3B">
              <w:rPr>
                <w:rFonts w:ascii="Arial" w:hAnsi="Arial" w:cs="Arial"/>
                <w:color w:val="000000" w:themeColor="text1"/>
                <w:szCs w:val="22"/>
              </w:rPr>
              <w:t xml:space="preserve"> (likwidacja jest powiązana z zaprzestaniem produkcji w jednostce produkcyjnej węgla)</w:t>
            </w:r>
            <w:r w:rsidR="000A52BD" w:rsidRPr="00951E3B">
              <w:rPr>
                <w:rFonts w:ascii="Arial" w:hAnsi="Arial" w:cs="Arial"/>
                <w:color w:val="000000" w:themeColor="text1"/>
                <w:szCs w:val="22"/>
              </w:rPr>
              <w:t>. Koszty</w:t>
            </w:r>
            <w:r w:rsidR="007D3E3D" w:rsidRPr="00951E3B">
              <w:rPr>
                <w:rFonts w:ascii="Arial" w:hAnsi="Arial" w:cs="Arial"/>
                <w:color w:val="000000" w:themeColor="text1"/>
                <w:szCs w:val="22"/>
              </w:rPr>
              <w:t xml:space="preserve"> pokrywane w ramach tego wsparcia </w:t>
            </w:r>
            <w:r w:rsidR="000A52BD" w:rsidRPr="00951E3B">
              <w:rPr>
                <w:rFonts w:ascii="Arial" w:hAnsi="Arial" w:cs="Arial"/>
                <w:color w:val="000000" w:themeColor="text1"/>
                <w:szCs w:val="22"/>
              </w:rPr>
              <w:t xml:space="preserve">będą określane jako koszty nadzwyczajne. </w:t>
            </w:r>
            <w:r w:rsidR="00920B05" w:rsidRPr="00951E3B">
              <w:rPr>
                <w:rFonts w:ascii="Arial" w:hAnsi="Arial" w:cs="Arial"/>
                <w:color w:val="000000" w:themeColor="text1"/>
                <w:szCs w:val="22"/>
              </w:rPr>
              <w:t xml:space="preserve">Pokrywanie kosztów nadzwyczajnych następować </w:t>
            </w:r>
            <w:r w:rsidR="00B07A37" w:rsidRPr="00951E3B">
              <w:rPr>
                <w:rFonts w:ascii="Arial" w:hAnsi="Arial" w:cs="Arial"/>
                <w:color w:val="000000" w:themeColor="text1"/>
                <w:szCs w:val="22"/>
              </w:rPr>
              <w:t>będzie</w:t>
            </w:r>
            <w:r w:rsidR="00920B05" w:rsidRPr="00951E3B">
              <w:rPr>
                <w:rFonts w:ascii="Arial" w:hAnsi="Arial" w:cs="Arial"/>
                <w:color w:val="000000" w:themeColor="text1"/>
                <w:szCs w:val="22"/>
              </w:rPr>
              <w:t xml:space="preserve"> </w:t>
            </w:r>
            <w:r w:rsidR="001E7311" w:rsidRPr="00951E3B">
              <w:rPr>
                <w:rFonts w:ascii="Arial" w:hAnsi="Arial" w:cs="Arial"/>
                <w:color w:val="000000" w:themeColor="text1"/>
                <w:szCs w:val="22"/>
              </w:rPr>
              <w:t xml:space="preserve">z dotacji </w:t>
            </w:r>
            <w:r w:rsidR="00920B05" w:rsidRPr="00951E3B">
              <w:rPr>
                <w:rFonts w:ascii="Arial" w:hAnsi="Arial" w:cs="Arial"/>
                <w:color w:val="000000" w:themeColor="text1"/>
                <w:szCs w:val="22"/>
              </w:rPr>
              <w:t xml:space="preserve">w zakresie i na zasadach podobnych jak </w:t>
            </w:r>
            <w:r w:rsidR="00B07A37" w:rsidRPr="00951E3B">
              <w:rPr>
                <w:rFonts w:ascii="Arial" w:hAnsi="Arial" w:cs="Arial"/>
                <w:color w:val="000000" w:themeColor="text1"/>
                <w:szCs w:val="22"/>
              </w:rPr>
              <w:t>w przypadku SRK</w:t>
            </w:r>
            <w:r w:rsidR="00374062" w:rsidRPr="00951E3B">
              <w:rPr>
                <w:rFonts w:ascii="Arial" w:hAnsi="Arial" w:cs="Arial"/>
                <w:color w:val="000000" w:themeColor="text1"/>
                <w:szCs w:val="22"/>
              </w:rPr>
              <w:t>, a p</w:t>
            </w:r>
            <w:r w:rsidR="00B07A37" w:rsidRPr="00951E3B">
              <w:rPr>
                <w:rFonts w:ascii="Arial" w:hAnsi="Arial" w:cs="Arial"/>
                <w:color w:val="000000" w:themeColor="text1"/>
                <w:szCs w:val="22"/>
              </w:rPr>
              <w:t xml:space="preserve">odstawą udzielania </w:t>
            </w:r>
            <w:r w:rsidR="00374062" w:rsidRPr="00951E3B">
              <w:rPr>
                <w:rFonts w:ascii="Arial" w:hAnsi="Arial" w:cs="Arial"/>
                <w:color w:val="000000" w:themeColor="text1"/>
                <w:szCs w:val="22"/>
              </w:rPr>
              <w:t xml:space="preserve">tej dotacji </w:t>
            </w:r>
            <w:r w:rsidR="00B07A37" w:rsidRPr="00951E3B">
              <w:rPr>
                <w:rFonts w:ascii="Arial" w:hAnsi="Arial" w:cs="Arial"/>
                <w:color w:val="000000" w:themeColor="text1"/>
                <w:szCs w:val="22"/>
              </w:rPr>
              <w:t>będzie</w:t>
            </w:r>
            <w:r w:rsidR="002B1547" w:rsidRPr="00951E3B">
              <w:rPr>
                <w:rFonts w:ascii="Arial" w:hAnsi="Arial" w:cs="Arial"/>
                <w:color w:val="000000" w:themeColor="text1"/>
                <w:szCs w:val="22"/>
              </w:rPr>
              <w:t xml:space="preserve"> umowa zawarta z beneficjentem w oparciu o przepisy</w:t>
            </w:r>
            <w:r w:rsidR="00B07A37" w:rsidRPr="00951E3B">
              <w:rPr>
                <w:rFonts w:ascii="Arial" w:hAnsi="Arial" w:cs="Arial"/>
                <w:color w:val="000000" w:themeColor="text1"/>
                <w:szCs w:val="22"/>
              </w:rPr>
              <w:t xml:space="preserve"> </w:t>
            </w:r>
            <w:r w:rsidR="00603127" w:rsidRPr="00951E3B">
              <w:rPr>
                <w:rFonts w:ascii="Arial" w:hAnsi="Arial" w:cs="Arial"/>
                <w:color w:val="000000" w:themeColor="text1"/>
                <w:szCs w:val="22"/>
              </w:rPr>
              <w:t>U</w:t>
            </w:r>
            <w:r w:rsidR="00B07A37" w:rsidRPr="00951E3B">
              <w:rPr>
                <w:rFonts w:ascii="Arial" w:hAnsi="Arial" w:cs="Arial"/>
                <w:color w:val="000000" w:themeColor="text1"/>
                <w:szCs w:val="22"/>
              </w:rPr>
              <w:t>staw</w:t>
            </w:r>
            <w:r w:rsidR="002B1547" w:rsidRPr="00951E3B">
              <w:rPr>
                <w:rFonts w:ascii="Arial" w:hAnsi="Arial" w:cs="Arial"/>
                <w:color w:val="000000" w:themeColor="text1"/>
                <w:szCs w:val="22"/>
              </w:rPr>
              <w:t>y</w:t>
            </w:r>
            <w:r w:rsidR="00B07A37" w:rsidRPr="00951E3B">
              <w:rPr>
                <w:rFonts w:ascii="Arial" w:hAnsi="Arial" w:cs="Arial"/>
                <w:color w:val="000000" w:themeColor="text1"/>
                <w:szCs w:val="22"/>
              </w:rPr>
              <w:t xml:space="preserve"> </w:t>
            </w:r>
            <w:r w:rsidR="00071218" w:rsidRPr="00951E3B">
              <w:rPr>
                <w:rFonts w:ascii="Arial" w:hAnsi="Arial" w:cs="Arial"/>
                <w:color w:val="000000" w:themeColor="text1"/>
                <w:szCs w:val="22"/>
              </w:rPr>
              <w:t>i akty wykonawcze do tej ustawy</w:t>
            </w:r>
            <w:r w:rsidR="002B1547" w:rsidRPr="00951E3B">
              <w:rPr>
                <w:rFonts w:ascii="Arial" w:hAnsi="Arial" w:cs="Arial"/>
                <w:color w:val="000000" w:themeColor="text1"/>
                <w:szCs w:val="22"/>
              </w:rPr>
              <w:t xml:space="preserve"> oraz ustawy o finansach publicznych</w:t>
            </w:r>
            <w:r w:rsidR="00071218" w:rsidRPr="00951E3B">
              <w:rPr>
                <w:rFonts w:ascii="Arial" w:hAnsi="Arial" w:cs="Arial"/>
                <w:color w:val="000000" w:themeColor="text1"/>
                <w:szCs w:val="22"/>
              </w:rPr>
              <w:t>.</w:t>
            </w:r>
          </w:p>
          <w:p w14:paraId="5DAF1F2E" w14:textId="77777777" w:rsidR="00A42579" w:rsidRPr="00951E3B" w:rsidRDefault="003720CC" w:rsidP="00531D0A">
            <w:pPr>
              <w:pStyle w:val="H2"/>
              <w:rPr>
                <w:rFonts w:ascii="Arial" w:hAnsi="Arial" w:cs="Arial"/>
                <w:color w:val="000000" w:themeColor="text1"/>
                <w:szCs w:val="22"/>
              </w:rPr>
            </w:pPr>
            <w:r w:rsidRPr="00951E3B">
              <w:rPr>
                <w:rFonts w:ascii="Arial" w:hAnsi="Arial" w:cs="Arial"/>
                <w:color w:val="000000" w:themeColor="text1"/>
                <w:szCs w:val="22"/>
              </w:rPr>
              <w:t xml:space="preserve">W ramach pomocy na pokrycie kosztów nadzwyczajnych finansowane </w:t>
            </w:r>
            <w:r w:rsidR="00071218" w:rsidRPr="00951E3B">
              <w:rPr>
                <w:rFonts w:ascii="Arial" w:hAnsi="Arial" w:cs="Arial"/>
                <w:color w:val="000000" w:themeColor="text1"/>
                <w:szCs w:val="22"/>
              </w:rPr>
              <w:t>będą koszty zasadniczo bazujące na</w:t>
            </w:r>
            <w:r w:rsidR="007D3E3D" w:rsidRPr="00951E3B">
              <w:rPr>
                <w:rFonts w:ascii="Arial" w:hAnsi="Arial" w:cs="Arial"/>
                <w:color w:val="000000" w:themeColor="text1"/>
                <w:szCs w:val="22"/>
              </w:rPr>
              <w:t xml:space="preserve">: </w:t>
            </w:r>
          </w:p>
          <w:p w14:paraId="666CB6EB" w14:textId="7499C03F" w:rsidR="00A42579" w:rsidRPr="00951E3B" w:rsidRDefault="004F7997" w:rsidP="00CD6E6E">
            <w:pPr>
              <w:pStyle w:val="H6"/>
              <w:tabs>
                <w:tab w:val="clear" w:pos="3119"/>
                <w:tab w:val="left" w:pos="2300"/>
              </w:tabs>
              <w:ind w:left="2300"/>
              <w:rPr>
                <w:rFonts w:ascii="Arial" w:hAnsi="Arial" w:cs="Arial"/>
                <w:color w:val="000000" w:themeColor="text1"/>
                <w:szCs w:val="22"/>
              </w:rPr>
            </w:pPr>
            <w:r w:rsidRPr="00951E3B">
              <w:rPr>
                <w:rFonts w:ascii="Arial" w:hAnsi="Arial" w:cs="Arial"/>
                <w:color w:val="000000" w:themeColor="text1"/>
                <w:szCs w:val="22"/>
              </w:rPr>
              <w:t xml:space="preserve">katalogu kosztów wskazanym w </w:t>
            </w:r>
            <w:r w:rsidR="00071218" w:rsidRPr="00951E3B">
              <w:rPr>
                <w:rFonts w:ascii="Arial" w:hAnsi="Arial" w:cs="Arial"/>
                <w:color w:val="000000" w:themeColor="text1"/>
                <w:szCs w:val="22"/>
              </w:rPr>
              <w:t xml:space="preserve">Decyzji Rady </w:t>
            </w:r>
            <w:r w:rsidR="00374062" w:rsidRPr="00951E3B">
              <w:rPr>
                <w:rFonts w:ascii="Arial" w:hAnsi="Arial" w:cs="Arial"/>
                <w:color w:val="000000" w:themeColor="text1"/>
                <w:szCs w:val="22"/>
              </w:rPr>
              <w:t xml:space="preserve">oraz </w:t>
            </w:r>
          </w:p>
          <w:p w14:paraId="141B2E7C" w14:textId="420E2519" w:rsidR="00531D0A" w:rsidRPr="00951E3B" w:rsidRDefault="00374062" w:rsidP="00CD6E6E">
            <w:pPr>
              <w:pStyle w:val="H6"/>
              <w:tabs>
                <w:tab w:val="clear" w:pos="3119"/>
                <w:tab w:val="left" w:pos="2300"/>
              </w:tabs>
              <w:ind w:left="2300"/>
              <w:rPr>
                <w:rFonts w:ascii="Arial" w:hAnsi="Arial" w:cs="Arial"/>
                <w:color w:val="000000" w:themeColor="text1"/>
                <w:szCs w:val="22"/>
              </w:rPr>
            </w:pPr>
            <w:r w:rsidRPr="00951E3B">
              <w:rPr>
                <w:rFonts w:ascii="Arial" w:hAnsi="Arial" w:cs="Arial"/>
                <w:color w:val="000000" w:themeColor="text1"/>
                <w:szCs w:val="22"/>
              </w:rPr>
              <w:t>zbieżne z aktualnie pokrywanymi z dotacji udzielanej na zadania</w:t>
            </w:r>
            <w:r w:rsidR="00963BAB" w:rsidRPr="00951E3B">
              <w:rPr>
                <w:rFonts w:ascii="Arial" w:hAnsi="Arial" w:cs="Arial"/>
                <w:color w:val="000000" w:themeColor="text1"/>
                <w:szCs w:val="22"/>
              </w:rPr>
              <w:t xml:space="preserve"> realizowane przez</w:t>
            </w:r>
            <w:r w:rsidR="009F0B08" w:rsidRPr="00951E3B">
              <w:rPr>
                <w:rFonts w:ascii="Arial" w:hAnsi="Arial" w:cs="Arial"/>
                <w:color w:val="000000" w:themeColor="text1"/>
                <w:szCs w:val="22"/>
              </w:rPr>
              <w:t xml:space="preserve"> SRK.</w:t>
            </w:r>
          </w:p>
          <w:p w14:paraId="5D7DAE0A" w14:textId="702664A7" w:rsidR="003720CC" w:rsidRPr="00951E3B" w:rsidRDefault="00374062" w:rsidP="00D26B72">
            <w:pPr>
              <w:pStyle w:val="H2"/>
              <w:numPr>
                <w:ilvl w:val="0"/>
                <w:numId w:val="0"/>
              </w:numPr>
              <w:ind w:left="567"/>
              <w:rPr>
                <w:rFonts w:ascii="Arial" w:hAnsi="Arial" w:cs="Arial"/>
                <w:color w:val="000000" w:themeColor="text1"/>
                <w:szCs w:val="22"/>
              </w:rPr>
            </w:pPr>
            <w:r w:rsidRPr="00951E3B">
              <w:rPr>
                <w:rFonts w:ascii="Arial" w:hAnsi="Arial" w:cs="Arial"/>
                <w:color w:val="000000" w:themeColor="text1"/>
                <w:szCs w:val="22"/>
              </w:rPr>
              <w:t>W szczególności</w:t>
            </w:r>
            <w:r w:rsidR="00963BAB" w:rsidRPr="00951E3B">
              <w:rPr>
                <w:rFonts w:ascii="Arial" w:hAnsi="Arial" w:cs="Arial"/>
                <w:color w:val="000000" w:themeColor="text1"/>
                <w:szCs w:val="22"/>
              </w:rPr>
              <w:t>, przy uwzględnieniu odpowiednich zmian legislacyjnych</w:t>
            </w:r>
            <w:r w:rsidR="004F7997" w:rsidRPr="00951E3B">
              <w:rPr>
                <w:rFonts w:ascii="Arial" w:hAnsi="Arial" w:cs="Arial"/>
                <w:color w:val="000000" w:themeColor="text1"/>
                <w:szCs w:val="22"/>
              </w:rPr>
              <w:t xml:space="preserve"> w </w:t>
            </w:r>
            <w:r w:rsidR="00603127" w:rsidRPr="00951E3B">
              <w:rPr>
                <w:rFonts w:ascii="Arial" w:hAnsi="Arial" w:cs="Arial"/>
                <w:color w:val="000000" w:themeColor="text1"/>
                <w:szCs w:val="22"/>
              </w:rPr>
              <w:t>U</w:t>
            </w:r>
            <w:r w:rsidR="004F7997" w:rsidRPr="00951E3B">
              <w:rPr>
                <w:rFonts w:ascii="Arial" w:hAnsi="Arial" w:cs="Arial"/>
                <w:color w:val="000000" w:themeColor="text1"/>
                <w:szCs w:val="22"/>
              </w:rPr>
              <w:t>stawie</w:t>
            </w:r>
            <w:r w:rsidR="00A42579" w:rsidRPr="00951E3B">
              <w:rPr>
                <w:rFonts w:ascii="Arial" w:hAnsi="Arial" w:cs="Arial"/>
                <w:color w:val="000000" w:themeColor="text1"/>
                <w:szCs w:val="22"/>
              </w:rPr>
              <w:t xml:space="preserve"> i aktach wykonawczych</w:t>
            </w:r>
            <w:r w:rsidR="007D3E3D" w:rsidRPr="00951E3B">
              <w:rPr>
                <w:rFonts w:ascii="Arial" w:hAnsi="Arial" w:cs="Arial"/>
                <w:color w:val="000000" w:themeColor="text1"/>
                <w:szCs w:val="22"/>
              </w:rPr>
              <w:t>,</w:t>
            </w:r>
            <w:r w:rsidR="002B1547" w:rsidRPr="00951E3B">
              <w:rPr>
                <w:rFonts w:ascii="Arial" w:hAnsi="Arial" w:cs="Arial"/>
                <w:color w:val="000000" w:themeColor="text1"/>
                <w:szCs w:val="22"/>
              </w:rPr>
              <w:t xml:space="preserve"> do kosztów pokrywanych z dotacji będą mogły zostać zaliczone</w:t>
            </w:r>
            <w:r w:rsidR="007D3E3D" w:rsidRPr="00951E3B">
              <w:rPr>
                <w:rFonts w:ascii="Arial" w:hAnsi="Arial" w:cs="Arial"/>
                <w:color w:val="000000" w:themeColor="text1"/>
                <w:szCs w:val="22"/>
              </w:rPr>
              <w:t>:</w:t>
            </w:r>
            <w:r w:rsidR="00963BAB" w:rsidRPr="00951E3B">
              <w:rPr>
                <w:rFonts w:ascii="Arial" w:hAnsi="Arial" w:cs="Arial"/>
                <w:color w:val="000000" w:themeColor="text1"/>
                <w:szCs w:val="22"/>
              </w:rPr>
              <w:t xml:space="preserve"> </w:t>
            </w:r>
          </w:p>
          <w:p w14:paraId="398A8E20" w14:textId="0EEEC92A" w:rsidR="003720CC" w:rsidRPr="00951E3B" w:rsidRDefault="003720CC" w:rsidP="00CD6E6E">
            <w:pPr>
              <w:pStyle w:val="H5"/>
              <w:numPr>
                <w:ilvl w:val="4"/>
                <w:numId w:val="48"/>
              </w:numPr>
              <w:rPr>
                <w:rFonts w:ascii="Arial" w:hAnsi="Arial" w:cs="Arial"/>
                <w:color w:val="000000" w:themeColor="text1"/>
                <w:szCs w:val="22"/>
              </w:rPr>
            </w:pPr>
            <w:r w:rsidRPr="00951E3B">
              <w:rPr>
                <w:rFonts w:ascii="Arial" w:hAnsi="Arial" w:cs="Arial"/>
                <w:color w:val="000000" w:themeColor="text1"/>
                <w:szCs w:val="22"/>
              </w:rPr>
              <w:t xml:space="preserve">koszty związane ze świadczeniami </w:t>
            </w:r>
            <w:r w:rsidR="002B1547" w:rsidRPr="00951E3B">
              <w:rPr>
                <w:rFonts w:ascii="Arial" w:hAnsi="Arial" w:cs="Arial"/>
                <w:color w:val="000000" w:themeColor="text1"/>
                <w:szCs w:val="22"/>
              </w:rPr>
              <w:t>osłonowymi</w:t>
            </w:r>
            <w:r w:rsidRPr="00951E3B">
              <w:rPr>
                <w:rFonts w:ascii="Arial" w:hAnsi="Arial" w:cs="Arial"/>
                <w:color w:val="000000" w:themeColor="text1"/>
                <w:szCs w:val="22"/>
              </w:rPr>
              <w:t xml:space="preserve"> ponoszonymi w związku z likwidacją jednostek</w:t>
            </w:r>
            <w:r w:rsidR="00B875A9" w:rsidRPr="00951E3B">
              <w:rPr>
                <w:rFonts w:ascii="Arial" w:hAnsi="Arial" w:cs="Arial"/>
                <w:color w:val="000000" w:themeColor="text1"/>
                <w:szCs w:val="22"/>
              </w:rPr>
              <w:t xml:space="preserve"> produkcyjnych</w:t>
            </w:r>
            <w:r w:rsidR="00963BAB" w:rsidRPr="00951E3B">
              <w:rPr>
                <w:rFonts w:ascii="Arial" w:hAnsi="Arial" w:cs="Arial"/>
                <w:color w:val="000000" w:themeColor="text1"/>
                <w:szCs w:val="22"/>
              </w:rPr>
              <w:t>,</w:t>
            </w:r>
            <w:r w:rsidRPr="00951E3B">
              <w:rPr>
                <w:rFonts w:ascii="Arial" w:hAnsi="Arial" w:cs="Arial"/>
                <w:color w:val="000000" w:themeColor="text1"/>
                <w:szCs w:val="22"/>
              </w:rPr>
              <w:t xml:space="preserve"> np. świadczenia z tytułu urlopów górniczych oraz urlopów dla pracowników zakładu przeróbki mechanicznej węgla, jednorazow</w:t>
            </w:r>
            <w:r w:rsidR="00374062" w:rsidRPr="00951E3B">
              <w:rPr>
                <w:rFonts w:ascii="Arial" w:hAnsi="Arial" w:cs="Arial"/>
                <w:color w:val="000000" w:themeColor="text1"/>
                <w:szCs w:val="22"/>
              </w:rPr>
              <w:t>e</w:t>
            </w:r>
            <w:r w:rsidRPr="00951E3B">
              <w:rPr>
                <w:rFonts w:ascii="Arial" w:hAnsi="Arial" w:cs="Arial"/>
                <w:color w:val="000000" w:themeColor="text1"/>
                <w:szCs w:val="22"/>
              </w:rPr>
              <w:t xml:space="preserve"> odpraw</w:t>
            </w:r>
            <w:r w:rsidR="00374062" w:rsidRPr="00951E3B">
              <w:rPr>
                <w:rFonts w:ascii="Arial" w:hAnsi="Arial" w:cs="Arial"/>
                <w:color w:val="000000" w:themeColor="text1"/>
                <w:szCs w:val="22"/>
              </w:rPr>
              <w:t>y</w:t>
            </w:r>
            <w:r w:rsidRPr="00951E3B">
              <w:rPr>
                <w:rFonts w:ascii="Arial" w:hAnsi="Arial" w:cs="Arial"/>
                <w:color w:val="000000" w:themeColor="text1"/>
                <w:szCs w:val="22"/>
              </w:rPr>
              <w:t xml:space="preserve"> pieniężn</w:t>
            </w:r>
            <w:r w:rsidR="00374062" w:rsidRPr="00951E3B">
              <w:rPr>
                <w:rFonts w:ascii="Arial" w:hAnsi="Arial" w:cs="Arial"/>
                <w:color w:val="000000" w:themeColor="text1"/>
                <w:szCs w:val="22"/>
              </w:rPr>
              <w:t>e</w:t>
            </w:r>
            <w:r w:rsidR="00B700BB" w:rsidRPr="00951E3B">
              <w:rPr>
                <w:rFonts w:ascii="Arial" w:hAnsi="Arial" w:cs="Arial"/>
                <w:color w:val="000000" w:themeColor="text1"/>
                <w:szCs w:val="22"/>
              </w:rPr>
              <w:t xml:space="preserve"> oraz renty wyrównawcze przyznane na podstawie prawomocnego wyroku sądu lub ugody zawartej przed sądem albo ugody zawartej między pracownikiem lub byłym pracownikiem a kopalnią, w której został rozpoczęty proces likwidacji,</w:t>
            </w:r>
          </w:p>
          <w:p w14:paraId="137B28F6" w14:textId="16298A15" w:rsidR="003720CC" w:rsidRPr="00951E3B" w:rsidRDefault="003720CC" w:rsidP="00070209">
            <w:pPr>
              <w:pStyle w:val="H5"/>
              <w:rPr>
                <w:rFonts w:ascii="Arial" w:hAnsi="Arial" w:cs="Arial"/>
                <w:color w:val="000000" w:themeColor="text1"/>
                <w:szCs w:val="22"/>
              </w:rPr>
            </w:pPr>
            <w:r w:rsidRPr="00951E3B">
              <w:rPr>
                <w:rFonts w:ascii="Arial" w:hAnsi="Arial" w:cs="Arial"/>
                <w:color w:val="000000" w:themeColor="text1"/>
                <w:szCs w:val="22"/>
              </w:rPr>
              <w:lastRenderedPageBreak/>
              <w:t>koszty likwidacji</w:t>
            </w:r>
            <w:r w:rsidR="00941B4F" w:rsidRPr="00951E3B">
              <w:rPr>
                <w:rFonts w:ascii="Arial" w:hAnsi="Arial" w:cs="Arial"/>
                <w:color w:val="000000" w:themeColor="text1"/>
                <w:szCs w:val="22"/>
              </w:rPr>
              <w:t xml:space="preserve"> jednostek produkcyjnych </w:t>
            </w:r>
            <w:r w:rsidRPr="00951E3B">
              <w:rPr>
                <w:rFonts w:ascii="Arial" w:hAnsi="Arial" w:cs="Arial"/>
                <w:color w:val="000000" w:themeColor="text1"/>
                <w:szCs w:val="22"/>
              </w:rPr>
              <w:t xml:space="preserve">, działań </w:t>
            </w:r>
            <w:proofErr w:type="spellStart"/>
            <w:r w:rsidRPr="00951E3B">
              <w:rPr>
                <w:rFonts w:ascii="Arial" w:hAnsi="Arial" w:cs="Arial"/>
                <w:color w:val="000000" w:themeColor="text1"/>
                <w:szCs w:val="22"/>
              </w:rPr>
              <w:t>polikwidacyjnych</w:t>
            </w:r>
            <w:proofErr w:type="spellEnd"/>
            <w:r w:rsidRPr="00951E3B">
              <w:rPr>
                <w:rFonts w:ascii="Arial" w:hAnsi="Arial" w:cs="Arial"/>
                <w:color w:val="000000" w:themeColor="text1"/>
                <w:szCs w:val="22"/>
              </w:rPr>
              <w:t xml:space="preserve">, naprawiania szkód wywołanych ruchem zakładu górniczego oraz zabezpieczenia </w:t>
            </w:r>
            <w:r w:rsidR="00941B4F" w:rsidRPr="00951E3B">
              <w:rPr>
                <w:rFonts w:ascii="Arial" w:hAnsi="Arial" w:cs="Arial"/>
                <w:color w:val="000000" w:themeColor="text1"/>
                <w:szCs w:val="22"/>
              </w:rPr>
              <w:t>jednostek produkcyjnych</w:t>
            </w:r>
            <w:r w:rsidRPr="00951E3B">
              <w:rPr>
                <w:rFonts w:ascii="Arial" w:hAnsi="Arial" w:cs="Arial"/>
                <w:color w:val="000000" w:themeColor="text1"/>
                <w:szCs w:val="22"/>
              </w:rPr>
              <w:t xml:space="preserve"> przed zagrożeniem wodnym, gazowym oraz pożarowym (</w:t>
            </w:r>
            <w:r w:rsidR="00374062" w:rsidRPr="00951E3B">
              <w:rPr>
                <w:rFonts w:ascii="Arial" w:hAnsi="Arial" w:cs="Arial"/>
                <w:color w:val="000000" w:themeColor="text1"/>
                <w:szCs w:val="22"/>
              </w:rPr>
              <w:t xml:space="preserve">działania te, analogicznie jak dziś, </w:t>
            </w:r>
            <w:r w:rsidRPr="00951E3B">
              <w:rPr>
                <w:rFonts w:ascii="Arial" w:hAnsi="Arial" w:cs="Arial"/>
                <w:color w:val="000000" w:themeColor="text1"/>
                <w:szCs w:val="22"/>
              </w:rPr>
              <w:t>odbywa</w:t>
            </w:r>
            <w:r w:rsidR="00374062" w:rsidRPr="00951E3B">
              <w:rPr>
                <w:rFonts w:ascii="Arial" w:hAnsi="Arial" w:cs="Arial"/>
                <w:color w:val="000000" w:themeColor="text1"/>
                <w:szCs w:val="22"/>
              </w:rPr>
              <w:t>ć się będą</w:t>
            </w:r>
            <w:r w:rsidRPr="00951E3B">
              <w:rPr>
                <w:rFonts w:ascii="Arial" w:hAnsi="Arial" w:cs="Arial"/>
                <w:color w:val="000000" w:themeColor="text1"/>
                <w:szCs w:val="22"/>
              </w:rPr>
              <w:t xml:space="preserve"> w oparciu m.in. o zaakceptowany kierunkowo przez ministra program likwidacji </w:t>
            </w:r>
            <w:r w:rsidR="00941B4F" w:rsidRPr="00951E3B">
              <w:rPr>
                <w:rFonts w:ascii="Arial" w:hAnsi="Arial" w:cs="Arial"/>
                <w:color w:val="000000" w:themeColor="text1"/>
                <w:szCs w:val="22"/>
              </w:rPr>
              <w:t xml:space="preserve">jednostki produkcyjnych </w:t>
            </w:r>
            <w:r w:rsidRPr="00951E3B">
              <w:rPr>
                <w:rFonts w:ascii="Arial" w:hAnsi="Arial" w:cs="Arial"/>
                <w:color w:val="000000" w:themeColor="text1"/>
                <w:szCs w:val="22"/>
              </w:rPr>
              <w:t>oraz roczny plan zadań/działań)</w:t>
            </w:r>
            <w:r w:rsidR="00BE2C6E" w:rsidRPr="00951E3B">
              <w:rPr>
                <w:rFonts w:ascii="Arial" w:hAnsi="Arial" w:cs="Arial"/>
                <w:color w:val="000000" w:themeColor="text1"/>
                <w:szCs w:val="22"/>
              </w:rPr>
              <w:t>,</w:t>
            </w:r>
          </w:p>
          <w:p w14:paraId="32D6AFBC" w14:textId="3E8EC0F4" w:rsidR="00963BAB" w:rsidRPr="00951E3B" w:rsidRDefault="00963BAB" w:rsidP="00070209">
            <w:pPr>
              <w:pStyle w:val="H5"/>
              <w:rPr>
                <w:rFonts w:ascii="Arial" w:hAnsi="Arial" w:cs="Arial"/>
                <w:color w:val="000000" w:themeColor="text1"/>
                <w:szCs w:val="22"/>
              </w:rPr>
            </w:pPr>
            <w:r w:rsidRPr="00951E3B">
              <w:rPr>
                <w:rFonts w:ascii="Arial" w:hAnsi="Arial" w:cs="Arial"/>
                <w:color w:val="000000" w:themeColor="text1"/>
                <w:szCs w:val="22"/>
              </w:rPr>
              <w:t xml:space="preserve">zadania związane z rekultywacją terenów </w:t>
            </w:r>
            <w:proofErr w:type="spellStart"/>
            <w:r w:rsidRPr="00951E3B">
              <w:rPr>
                <w:rFonts w:ascii="Arial" w:hAnsi="Arial" w:cs="Arial"/>
                <w:color w:val="000000" w:themeColor="text1"/>
                <w:szCs w:val="22"/>
              </w:rPr>
              <w:t>pogórniczych</w:t>
            </w:r>
            <w:proofErr w:type="spellEnd"/>
            <w:r w:rsidR="00E61EDC" w:rsidRPr="00951E3B">
              <w:rPr>
                <w:rFonts w:ascii="Arial" w:hAnsi="Arial" w:cs="Arial"/>
                <w:color w:val="000000" w:themeColor="text1"/>
                <w:szCs w:val="22"/>
              </w:rPr>
              <w:t>.</w:t>
            </w:r>
          </w:p>
          <w:p w14:paraId="67D15220" w14:textId="77777777" w:rsidR="007D3E3D" w:rsidRPr="00951E3B" w:rsidRDefault="00963BAB" w:rsidP="00070209">
            <w:pPr>
              <w:pStyle w:val="H2"/>
              <w:rPr>
                <w:rFonts w:ascii="Arial" w:hAnsi="Arial" w:cs="Arial"/>
                <w:color w:val="000000" w:themeColor="text1"/>
                <w:szCs w:val="22"/>
              </w:rPr>
            </w:pPr>
            <w:r w:rsidRPr="00951E3B">
              <w:rPr>
                <w:rFonts w:ascii="Arial" w:hAnsi="Arial" w:cs="Arial"/>
                <w:color w:val="000000" w:themeColor="text1"/>
                <w:szCs w:val="22"/>
              </w:rPr>
              <w:t>Szczegółowe zasady</w:t>
            </w:r>
            <w:r w:rsidR="007D3E3D" w:rsidRPr="00951E3B">
              <w:rPr>
                <w:rFonts w:ascii="Arial" w:hAnsi="Arial" w:cs="Arial"/>
                <w:color w:val="000000" w:themeColor="text1"/>
                <w:szCs w:val="22"/>
              </w:rPr>
              <w:t>:</w:t>
            </w:r>
            <w:r w:rsidRPr="00951E3B">
              <w:rPr>
                <w:rFonts w:ascii="Arial" w:hAnsi="Arial" w:cs="Arial"/>
                <w:color w:val="000000" w:themeColor="text1"/>
                <w:szCs w:val="22"/>
              </w:rPr>
              <w:t xml:space="preserve"> </w:t>
            </w:r>
          </w:p>
          <w:p w14:paraId="578B536D" w14:textId="29D8E20E" w:rsidR="007D3E3D" w:rsidRPr="00951E3B" w:rsidRDefault="00963BAB" w:rsidP="007D3E3D">
            <w:pPr>
              <w:pStyle w:val="H5"/>
              <w:rPr>
                <w:rFonts w:ascii="Arial" w:hAnsi="Arial" w:cs="Arial"/>
                <w:color w:val="000000" w:themeColor="text1"/>
                <w:szCs w:val="22"/>
              </w:rPr>
            </w:pPr>
            <w:r w:rsidRPr="00951E3B">
              <w:rPr>
                <w:rFonts w:ascii="Arial" w:hAnsi="Arial" w:cs="Arial"/>
                <w:color w:val="000000" w:themeColor="text1"/>
                <w:szCs w:val="22"/>
              </w:rPr>
              <w:t>wnioskowania o dotację na pokrycie poszczególnych rodzajów kosztów</w:t>
            </w:r>
            <w:r w:rsidR="0010248E" w:rsidRPr="00951E3B">
              <w:rPr>
                <w:rFonts w:ascii="Arial" w:hAnsi="Arial" w:cs="Arial"/>
                <w:color w:val="000000" w:themeColor="text1"/>
                <w:szCs w:val="22"/>
              </w:rPr>
              <w:t>,</w:t>
            </w:r>
          </w:p>
          <w:p w14:paraId="6A93A6DB" w14:textId="049716B9" w:rsidR="007D3E3D" w:rsidRPr="00951E3B" w:rsidRDefault="00963BAB" w:rsidP="007D3E3D">
            <w:pPr>
              <w:pStyle w:val="H5"/>
              <w:rPr>
                <w:rFonts w:ascii="Arial" w:hAnsi="Arial" w:cs="Arial"/>
                <w:color w:val="000000" w:themeColor="text1"/>
                <w:szCs w:val="22"/>
              </w:rPr>
            </w:pPr>
            <w:r w:rsidRPr="00951E3B">
              <w:rPr>
                <w:rFonts w:ascii="Arial" w:hAnsi="Arial" w:cs="Arial"/>
                <w:color w:val="000000" w:themeColor="text1"/>
                <w:szCs w:val="22"/>
              </w:rPr>
              <w:t>zasady rozliczania uzyskanej dotacji</w:t>
            </w:r>
            <w:r w:rsidR="007D3E3D" w:rsidRPr="00951E3B">
              <w:rPr>
                <w:rFonts w:ascii="Arial" w:hAnsi="Arial" w:cs="Arial"/>
                <w:color w:val="000000" w:themeColor="text1"/>
                <w:szCs w:val="22"/>
              </w:rPr>
              <w:t>,</w:t>
            </w:r>
            <w:r w:rsidRPr="00951E3B">
              <w:rPr>
                <w:rFonts w:ascii="Arial" w:hAnsi="Arial" w:cs="Arial"/>
                <w:color w:val="000000" w:themeColor="text1"/>
                <w:szCs w:val="22"/>
              </w:rPr>
              <w:t xml:space="preserve"> w tym zasady moni</w:t>
            </w:r>
            <w:r w:rsidR="0010248E" w:rsidRPr="00951E3B">
              <w:rPr>
                <w:rFonts w:ascii="Arial" w:hAnsi="Arial" w:cs="Arial"/>
                <w:color w:val="000000" w:themeColor="text1"/>
                <w:szCs w:val="22"/>
              </w:rPr>
              <w:t>torowania wykorzystania dotacji</w:t>
            </w:r>
          </w:p>
          <w:p w14:paraId="4C31887C" w14:textId="77777777" w:rsidR="007D3E3D" w:rsidRPr="00951E3B" w:rsidRDefault="00963BAB" w:rsidP="007D3E3D">
            <w:pPr>
              <w:pStyle w:val="H5"/>
              <w:numPr>
                <w:ilvl w:val="0"/>
                <w:numId w:val="0"/>
              </w:numPr>
              <w:ind w:left="567"/>
              <w:rPr>
                <w:rFonts w:ascii="Arial" w:hAnsi="Arial" w:cs="Arial"/>
                <w:color w:val="000000" w:themeColor="text1"/>
                <w:szCs w:val="22"/>
              </w:rPr>
            </w:pPr>
            <w:r w:rsidRPr="00951E3B">
              <w:rPr>
                <w:rFonts w:ascii="Arial" w:hAnsi="Arial" w:cs="Arial"/>
                <w:color w:val="000000" w:themeColor="text1"/>
                <w:szCs w:val="22"/>
              </w:rPr>
              <w:t xml:space="preserve">zostaną określone w aktach wykonawczych do </w:t>
            </w:r>
            <w:r w:rsidR="00603127" w:rsidRPr="00951E3B">
              <w:rPr>
                <w:rFonts w:ascii="Arial" w:hAnsi="Arial" w:cs="Arial"/>
                <w:color w:val="000000" w:themeColor="text1"/>
                <w:szCs w:val="22"/>
              </w:rPr>
              <w:t>U</w:t>
            </w:r>
            <w:r w:rsidRPr="00951E3B">
              <w:rPr>
                <w:rFonts w:ascii="Arial" w:hAnsi="Arial" w:cs="Arial"/>
                <w:color w:val="000000" w:themeColor="text1"/>
                <w:szCs w:val="22"/>
              </w:rPr>
              <w:t>stawy</w:t>
            </w:r>
            <w:r w:rsidR="00795CE6" w:rsidRPr="00951E3B">
              <w:rPr>
                <w:rFonts w:ascii="Arial" w:hAnsi="Arial" w:cs="Arial"/>
                <w:color w:val="000000" w:themeColor="text1"/>
                <w:szCs w:val="22"/>
              </w:rPr>
              <w:t xml:space="preserve"> i zasadniczo bazować będą na mechanizmach wypracowanych na potrzeby zadań realizowanych przez SRK</w:t>
            </w:r>
            <w:r w:rsidRPr="00951E3B">
              <w:rPr>
                <w:rFonts w:ascii="Arial" w:hAnsi="Arial" w:cs="Arial"/>
                <w:color w:val="000000" w:themeColor="text1"/>
                <w:szCs w:val="22"/>
              </w:rPr>
              <w:t xml:space="preserve">. </w:t>
            </w:r>
          </w:p>
          <w:p w14:paraId="7D6D2BB9" w14:textId="6DD2753C" w:rsidR="007D3E3D" w:rsidRPr="00951E3B" w:rsidRDefault="00963BAB" w:rsidP="007D3E3D">
            <w:pPr>
              <w:pStyle w:val="H5"/>
              <w:numPr>
                <w:ilvl w:val="0"/>
                <w:numId w:val="0"/>
              </w:numPr>
              <w:ind w:left="567"/>
              <w:rPr>
                <w:rFonts w:ascii="Arial" w:hAnsi="Arial" w:cs="Arial"/>
                <w:color w:val="000000" w:themeColor="text1"/>
                <w:szCs w:val="22"/>
              </w:rPr>
            </w:pPr>
            <w:r w:rsidRPr="00951E3B">
              <w:rPr>
                <w:rFonts w:ascii="Arial" w:hAnsi="Arial" w:cs="Arial"/>
                <w:color w:val="000000" w:themeColor="text1"/>
                <w:szCs w:val="22"/>
              </w:rPr>
              <w:t xml:space="preserve">Zasady te będą zasadniczo opierać się na okresowym składaniu wniosków </w:t>
            </w:r>
            <w:r w:rsidR="00603127" w:rsidRPr="00951E3B">
              <w:rPr>
                <w:rFonts w:ascii="Arial" w:hAnsi="Arial" w:cs="Arial"/>
                <w:color w:val="000000" w:themeColor="text1"/>
                <w:szCs w:val="22"/>
              </w:rPr>
              <w:t>o dotacje</w:t>
            </w:r>
            <w:r w:rsidR="0003370A" w:rsidRPr="00951E3B">
              <w:rPr>
                <w:rFonts w:ascii="Arial" w:hAnsi="Arial" w:cs="Arial"/>
                <w:color w:val="000000" w:themeColor="text1"/>
                <w:szCs w:val="22"/>
              </w:rPr>
              <w:t>,</w:t>
            </w:r>
            <w:r w:rsidR="00603127" w:rsidRPr="00951E3B">
              <w:rPr>
                <w:rFonts w:ascii="Arial" w:hAnsi="Arial" w:cs="Arial"/>
                <w:color w:val="000000" w:themeColor="text1"/>
                <w:szCs w:val="22"/>
              </w:rPr>
              <w:t xml:space="preserve"> </w:t>
            </w:r>
            <w:r w:rsidRPr="00951E3B">
              <w:rPr>
                <w:rFonts w:ascii="Arial" w:hAnsi="Arial" w:cs="Arial"/>
                <w:color w:val="000000" w:themeColor="text1"/>
                <w:szCs w:val="22"/>
              </w:rPr>
              <w:t>z wyszczególnieniem rodzaju kosztów</w:t>
            </w:r>
            <w:r w:rsidR="00754C26" w:rsidRPr="00951E3B">
              <w:rPr>
                <w:rFonts w:ascii="Arial" w:hAnsi="Arial" w:cs="Arial"/>
                <w:color w:val="000000" w:themeColor="text1"/>
                <w:szCs w:val="22"/>
              </w:rPr>
              <w:t xml:space="preserve"> do pokrycia dotacją</w:t>
            </w:r>
            <w:r w:rsidRPr="00951E3B">
              <w:rPr>
                <w:rFonts w:ascii="Arial" w:hAnsi="Arial" w:cs="Arial"/>
                <w:color w:val="000000" w:themeColor="text1"/>
                <w:szCs w:val="22"/>
              </w:rPr>
              <w:t xml:space="preserve">, </w:t>
            </w:r>
            <w:r w:rsidR="004F7997" w:rsidRPr="00951E3B">
              <w:rPr>
                <w:rFonts w:ascii="Arial" w:hAnsi="Arial" w:cs="Arial"/>
                <w:color w:val="000000" w:themeColor="text1"/>
                <w:szCs w:val="22"/>
              </w:rPr>
              <w:t xml:space="preserve">ich </w:t>
            </w:r>
            <w:r w:rsidRPr="00951E3B">
              <w:rPr>
                <w:rFonts w:ascii="Arial" w:hAnsi="Arial" w:cs="Arial"/>
                <w:color w:val="000000" w:themeColor="text1"/>
                <w:szCs w:val="22"/>
              </w:rPr>
              <w:t>przewidywanej wysokości</w:t>
            </w:r>
            <w:r w:rsidR="004F7997" w:rsidRPr="00951E3B">
              <w:rPr>
                <w:rFonts w:ascii="Arial" w:hAnsi="Arial" w:cs="Arial"/>
                <w:color w:val="000000" w:themeColor="text1"/>
                <w:szCs w:val="22"/>
              </w:rPr>
              <w:t>, załączaniu odpowiednich dokumentów źródłowych jak np. orzeczenia sądowe dot. obowiązku naprawienia szkód</w:t>
            </w:r>
            <w:r w:rsidRPr="00951E3B">
              <w:rPr>
                <w:rFonts w:ascii="Arial" w:hAnsi="Arial" w:cs="Arial"/>
                <w:color w:val="000000" w:themeColor="text1"/>
                <w:szCs w:val="22"/>
              </w:rPr>
              <w:t xml:space="preserve"> itp. </w:t>
            </w:r>
          </w:p>
          <w:p w14:paraId="400D0306" w14:textId="3DE8818C" w:rsidR="00D26B72" w:rsidRPr="00951E3B" w:rsidRDefault="00795CE6" w:rsidP="007D3E3D">
            <w:pPr>
              <w:pStyle w:val="H5"/>
              <w:numPr>
                <w:ilvl w:val="0"/>
                <w:numId w:val="0"/>
              </w:numPr>
              <w:ind w:left="567"/>
              <w:rPr>
                <w:rFonts w:ascii="Arial" w:hAnsi="Arial" w:cs="Arial"/>
                <w:color w:val="000000" w:themeColor="text1"/>
                <w:szCs w:val="22"/>
              </w:rPr>
            </w:pPr>
            <w:r w:rsidRPr="00951E3B">
              <w:rPr>
                <w:rFonts w:ascii="Arial" w:hAnsi="Arial" w:cs="Arial"/>
                <w:color w:val="000000" w:themeColor="text1"/>
                <w:szCs w:val="22"/>
              </w:rPr>
              <w:t>Nast</w:t>
            </w:r>
            <w:r w:rsidR="004F7997" w:rsidRPr="00951E3B">
              <w:rPr>
                <w:rFonts w:ascii="Arial" w:hAnsi="Arial" w:cs="Arial"/>
                <w:color w:val="000000" w:themeColor="text1"/>
                <w:szCs w:val="22"/>
              </w:rPr>
              <w:t>ępnie</w:t>
            </w:r>
            <w:r w:rsidR="0003370A" w:rsidRPr="00951E3B">
              <w:rPr>
                <w:rFonts w:ascii="Arial" w:hAnsi="Arial" w:cs="Arial"/>
                <w:color w:val="000000" w:themeColor="text1"/>
                <w:szCs w:val="22"/>
              </w:rPr>
              <w:t>,</w:t>
            </w:r>
            <w:r w:rsidR="004F7997" w:rsidRPr="00951E3B">
              <w:rPr>
                <w:rFonts w:ascii="Arial" w:hAnsi="Arial" w:cs="Arial"/>
                <w:color w:val="000000" w:themeColor="text1"/>
                <w:szCs w:val="22"/>
              </w:rPr>
              <w:t xml:space="preserve"> wnioskujące przedsiębiorstwo będzie obowiązane do rozliczenia otrzymanej dotacji w oparciu o wykazanie kosztów faktycznie poniesionych</w:t>
            </w:r>
            <w:r w:rsidR="00D26B72" w:rsidRPr="00951E3B">
              <w:rPr>
                <w:rFonts w:ascii="Arial" w:hAnsi="Arial" w:cs="Arial"/>
                <w:color w:val="000000" w:themeColor="text1"/>
                <w:szCs w:val="22"/>
              </w:rPr>
              <w:t>.</w:t>
            </w:r>
          </w:p>
          <w:p w14:paraId="14AFBB5D" w14:textId="37A1E3B8" w:rsidR="00C81BA3" w:rsidRPr="00951E3B" w:rsidRDefault="00DA60C1" w:rsidP="00DA60C1">
            <w:pPr>
              <w:pStyle w:val="H5"/>
              <w:numPr>
                <w:ilvl w:val="0"/>
                <w:numId w:val="0"/>
              </w:numPr>
              <w:ind w:left="567"/>
              <w:rPr>
                <w:rFonts w:ascii="Arial" w:hAnsi="Arial" w:cs="Arial"/>
                <w:color w:val="000000" w:themeColor="text1"/>
                <w:szCs w:val="22"/>
              </w:rPr>
            </w:pPr>
            <w:r w:rsidRPr="00951E3B">
              <w:rPr>
                <w:rFonts w:ascii="Arial" w:hAnsi="Arial" w:cs="Arial"/>
                <w:color w:val="000000" w:themeColor="text1"/>
                <w:szCs w:val="22"/>
              </w:rPr>
              <w:t>Koszty wskazywane we wnioskach o wypłatę dotacji będą przedstawiane w rozbiciu na poszczególne koszty, które miałyby zostać pokryte z dotacji oraz w rozbiciu na konkretne</w:t>
            </w:r>
            <w:r w:rsidR="00B875A9" w:rsidRPr="00951E3B">
              <w:rPr>
                <w:rFonts w:ascii="Arial" w:hAnsi="Arial" w:cs="Arial"/>
                <w:color w:val="000000" w:themeColor="text1"/>
                <w:szCs w:val="22"/>
              </w:rPr>
              <w:t xml:space="preserve"> jednostki produkcyjne</w:t>
            </w:r>
            <w:r w:rsidRPr="00951E3B">
              <w:rPr>
                <w:rFonts w:ascii="Arial" w:hAnsi="Arial" w:cs="Arial"/>
                <w:color w:val="000000" w:themeColor="text1"/>
                <w:szCs w:val="22"/>
              </w:rPr>
              <w:t>.</w:t>
            </w:r>
            <w:r w:rsidR="004F7997" w:rsidRPr="00951E3B">
              <w:rPr>
                <w:rFonts w:ascii="Arial" w:hAnsi="Arial" w:cs="Arial"/>
                <w:color w:val="000000" w:themeColor="text1"/>
                <w:szCs w:val="22"/>
              </w:rPr>
              <w:t xml:space="preserve"> </w:t>
            </w:r>
            <w:r w:rsidRPr="00951E3B">
              <w:rPr>
                <w:rFonts w:ascii="Arial" w:hAnsi="Arial" w:cs="Arial"/>
                <w:color w:val="000000" w:themeColor="text1"/>
                <w:szCs w:val="22"/>
              </w:rPr>
              <w:t>W analogiczny sposób będą przedstawiane rozliczenia</w:t>
            </w:r>
            <w:r w:rsidR="00C12BDE" w:rsidRPr="00951E3B">
              <w:rPr>
                <w:rFonts w:ascii="Arial" w:hAnsi="Arial" w:cs="Arial"/>
                <w:color w:val="000000" w:themeColor="text1"/>
                <w:szCs w:val="22"/>
              </w:rPr>
              <w:t xml:space="preserve"> otrzymanej dotacji,</w:t>
            </w:r>
            <w:r w:rsidRPr="00951E3B">
              <w:rPr>
                <w:rFonts w:ascii="Arial" w:hAnsi="Arial" w:cs="Arial"/>
                <w:color w:val="000000" w:themeColor="text1"/>
                <w:szCs w:val="22"/>
              </w:rPr>
              <w:t xml:space="preserve"> </w:t>
            </w:r>
            <w:r w:rsidR="00E31517" w:rsidRPr="00951E3B">
              <w:rPr>
                <w:rFonts w:ascii="Arial" w:hAnsi="Arial" w:cs="Arial"/>
                <w:color w:val="000000" w:themeColor="text1"/>
                <w:szCs w:val="22"/>
              </w:rPr>
              <w:t xml:space="preserve">składane </w:t>
            </w:r>
            <w:r w:rsidRPr="00951E3B">
              <w:rPr>
                <w:rFonts w:ascii="Arial" w:hAnsi="Arial" w:cs="Arial"/>
                <w:color w:val="000000" w:themeColor="text1"/>
                <w:szCs w:val="22"/>
              </w:rPr>
              <w:t xml:space="preserve">w oparciu o faktycznie poniesione koszty (tj. </w:t>
            </w:r>
            <w:r w:rsidR="00E31517" w:rsidRPr="00951E3B">
              <w:rPr>
                <w:rFonts w:ascii="Arial" w:hAnsi="Arial" w:cs="Arial"/>
                <w:color w:val="000000" w:themeColor="text1"/>
                <w:szCs w:val="22"/>
              </w:rPr>
              <w:t>z wykazaniem poszczególnych kosztów poniesionych na poszczególne</w:t>
            </w:r>
            <w:r w:rsidR="00B875A9" w:rsidRPr="00951E3B">
              <w:rPr>
                <w:rFonts w:ascii="Arial" w:hAnsi="Arial" w:cs="Arial"/>
                <w:color w:val="000000" w:themeColor="text1"/>
                <w:szCs w:val="22"/>
              </w:rPr>
              <w:t xml:space="preserve"> jednostki produkcyjne</w:t>
            </w:r>
            <w:r w:rsidR="00E31517" w:rsidRPr="00951E3B">
              <w:rPr>
                <w:rFonts w:ascii="Arial" w:hAnsi="Arial" w:cs="Arial"/>
                <w:color w:val="000000" w:themeColor="text1"/>
                <w:szCs w:val="22"/>
              </w:rPr>
              <w:t xml:space="preserve">). </w:t>
            </w:r>
          </w:p>
          <w:p w14:paraId="27DDCCBD" w14:textId="77777777" w:rsidR="00B700BB" w:rsidRPr="00951E3B" w:rsidRDefault="00E31517" w:rsidP="00DA60C1">
            <w:pPr>
              <w:pStyle w:val="H5"/>
              <w:numPr>
                <w:ilvl w:val="0"/>
                <w:numId w:val="0"/>
              </w:numPr>
              <w:ind w:left="567"/>
              <w:rPr>
                <w:rFonts w:ascii="Arial" w:hAnsi="Arial" w:cs="Arial"/>
                <w:color w:val="000000" w:themeColor="text1"/>
                <w:szCs w:val="22"/>
              </w:rPr>
            </w:pPr>
            <w:r w:rsidRPr="00951E3B">
              <w:rPr>
                <w:rFonts w:ascii="Arial" w:hAnsi="Arial" w:cs="Arial"/>
                <w:color w:val="000000" w:themeColor="text1"/>
                <w:szCs w:val="22"/>
              </w:rPr>
              <w:t>Jeśli przedsiębiorstwo nie przedłoży rozliczeń w wyznaczonym terminie nastąpi czasowe wstrzymanie dotacji. Natomiast jeśli okaże się, że dotacja została wykorzystana niezgodnie z przeznaczeniem, będzie podlegała zwrotowi</w:t>
            </w:r>
            <w:r w:rsidR="00B700BB" w:rsidRPr="00951E3B">
              <w:rPr>
                <w:rFonts w:ascii="Arial" w:hAnsi="Arial" w:cs="Arial"/>
                <w:color w:val="000000" w:themeColor="text1"/>
                <w:szCs w:val="22"/>
              </w:rPr>
              <w:t xml:space="preserve"> wraz z odsetkami, zgodnie z przepisami ustawy o finansach publicznych.</w:t>
            </w:r>
          </w:p>
          <w:p w14:paraId="49CD4673" w14:textId="26B805C7" w:rsidR="00E31517" w:rsidRPr="00951E3B" w:rsidRDefault="00B700BB" w:rsidP="00DA60C1">
            <w:pPr>
              <w:pStyle w:val="H5"/>
              <w:numPr>
                <w:ilvl w:val="0"/>
                <w:numId w:val="0"/>
              </w:numPr>
              <w:ind w:left="567"/>
              <w:rPr>
                <w:rFonts w:ascii="Arial" w:hAnsi="Arial" w:cs="Arial"/>
                <w:color w:val="000000" w:themeColor="text1"/>
                <w:szCs w:val="22"/>
              </w:rPr>
            </w:pPr>
            <w:r w:rsidRPr="00951E3B">
              <w:rPr>
                <w:rFonts w:ascii="Arial" w:hAnsi="Arial" w:cs="Arial"/>
                <w:color w:val="000000" w:themeColor="text1"/>
                <w:szCs w:val="22"/>
              </w:rPr>
              <w:t>Zarówno składane wnioski, jak i sprawozdania z realizacji zadań i wydatkowanych środków będą podlegały weryfikacji pod względem merytorycznym, formalnym i rachunkowym. Będą również przeprowadzane w podmiotach kontrole z prawidłowości wykorzystania środków publicznych.</w:t>
            </w:r>
            <w:r w:rsidR="00E31517" w:rsidRPr="00951E3B">
              <w:rPr>
                <w:rFonts w:ascii="Arial" w:hAnsi="Arial" w:cs="Arial"/>
                <w:color w:val="000000" w:themeColor="text1"/>
                <w:szCs w:val="22"/>
              </w:rPr>
              <w:t xml:space="preserve"> </w:t>
            </w:r>
          </w:p>
          <w:p w14:paraId="607979CF" w14:textId="40F867B7" w:rsidR="00E428B7" w:rsidRPr="00951E3B" w:rsidRDefault="00E428B7" w:rsidP="00070209">
            <w:pPr>
              <w:pStyle w:val="H1"/>
              <w:rPr>
                <w:rFonts w:ascii="Arial" w:hAnsi="Arial" w:cs="Arial"/>
                <w:color w:val="000000" w:themeColor="text1"/>
                <w:szCs w:val="22"/>
              </w:rPr>
            </w:pPr>
            <w:r w:rsidRPr="00951E3B">
              <w:rPr>
                <w:rFonts w:ascii="Arial" w:hAnsi="Arial" w:cs="Arial"/>
                <w:color w:val="000000" w:themeColor="text1"/>
                <w:szCs w:val="22"/>
              </w:rPr>
              <w:lastRenderedPageBreak/>
              <w:t xml:space="preserve">Dopłaty do </w:t>
            </w:r>
            <w:r w:rsidR="0014746B" w:rsidRPr="00951E3B">
              <w:rPr>
                <w:rFonts w:ascii="Arial" w:hAnsi="Arial" w:cs="Arial"/>
                <w:color w:val="000000" w:themeColor="text1"/>
                <w:szCs w:val="22"/>
              </w:rPr>
              <w:t>redukcji zdolności produkcyjnych</w:t>
            </w:r>
            <w:r w:rsidRPr="00951E3B">
              <w:rPr>
                <w:rFonts w:ascii="Arial" w:hAnsi="Arial" w:cs="Arial"/>
                <w:color w:val="000000" w:themeColor="text1"/>
                <w:szCs w:val="22"/>
              </w:rPr>
              <w:t xml:space="preserve"> </w:t>
            </w:r>
          </w:p>
          <w:p w14:paraId="4B6ED91B" w14:textId="099433E7" w:rsidR="00D22CA0" w:rsidRPr="00951E3B" w:rsidRDefault="00A42579" w:rsidP="00D22CA0">
            <w:pPr>
              <w:pStyle w:val="H2"/>
              <w:rPr>
                <w:rFonts w:ascii="Arial" w:eastAsiaTheme="minorHAnsi" w:hAnsi="Arial" w:cs="Arial"/>
                <w:color w:val="000000" w:themeColor="text1"/>
                <w:szCs w:val="22"/>
                <w:lang w:eastAsia="en-US"/>
              </w:rPr>
            </w:pPr>
            <w:r w:rsidRPr="00951E3B">
              <w:rPr>
                <w:rFonts w:ascii="Arial" w:hAnsi="Arial" w:cs="Arial"/>
                <w:color w:val="000000" w:themeColor="text1"/>
              </w:rPr>
              <w:t xml:space="preserve">Przedsiębiorstwa </w:t>
            </w:r>
            <w:r w:rsidR="000A52BD" w:rsidRPr="00951E3B">
              <w:rPr>
                <w:rFonts w:ascii="Arial" w:hAnsi="Arial" w:cs="Arial"/>
                <w:color w:val="000000" w:themeColor="text1"/>
              </w:rPr>
              <w:t xml:space="preserve">wyznaczone do wdrożenia </w:t>
            </w:r>
            <w:r w:rsidR="00B875A9" w:rsidRPr="00951E3B">
              <w:rPr>
                <w:rFonts w:ascii="Arial" w:hAnsi="Arial" w:cs="Arial"/>
                <w:color w:val="000000" w:themeColor="text1"/>
              </w:rPr>
              <w:t>S</w:t>
            </w:r>
            <w:r w:rsidR="000A52BD" w:rsidRPr="00951E3B">
              <w:rPr>
                <w:rFonts w:ascii="Arial" w:hAnsi="Arial" w:cs="Arial"/>
                <w:color w:val="000000" w:themeColor="text1"/>
              </w:rPr>
              <w:t xml:space="preserve">ystemu </w:t>
            </w:r>
            <w:r w:rsidR="00B875A9" w:rsidRPr="00951E3B">
              <w:rPr>
                <w:rFonts w:ascii="Arial" w:hAnsi="Arial" w:cs="Arial"/>
                <w:color w:val="000000" w:themeColor="text1"/>
              </w:rPr>
              <w:t>W</w:t>
            </w:r>
            <w:r w:rsidR="000A52BD" w:rsidRPr="00951E3B">
              <w:rPr>
                <w:rFonts w:ascii="Arial" w:hAnsi="Arial" w:cs="Arial"/>
                <w:color w:val="000000" w:themeColor="text1"/>
              </w:rPr>
              <w:t xml:space="preserve">sparcia będzie obowiązane do stopniowego wygaszania zdolności produkcyjnych </w:t>
            </w:r>
            <w:r w:rsidR="00B875A9" w:rsidRPr="00951E3B">
              <w:rPr>
                <w:rFonts w:ascii="Arial" w:hAnsi="Arial" w:cs="Arial"/>
                <w:color w:val="000000" w:themeColor="text1"/>
              </w:rPr>
              <w:t xml:space="preserve">jednostek produkcyjnych </w:t>
            </w:r>
            <w:r w:rsidR="00603127" w:rsidRPr="00951E3B">
              <w:rPr>
                <w:rFonts w:ascii="Arial" w:hAnsi="Arial" w:cs="Arial"/>
                <w:color w:val="000000" w:themeColor="text1"/>
              </w:rPr>
              <w:t xml:space="preserve">i w efekcie do </w:t>
            </w:r>
            <w:r w:rsidR="00B875A9" w:rsidRPr="00951E3B">
              <w:rPr>
                <w:rFonts w:ascii="Arial" w:hAnsi="Arial" w:cs="Arial"/>
                <w:color w:val="000000" w:themeColor="text1"/>
              </w:rPr>
              <w:t xml:space="preserve">ich </w:t>
            </w:r>
            <w:r w:rsidR="00A84A77" w:rsidRPr="00951E3B">
              <w:rPr>
                <w:rFonts w:ascii="Arial" w:hAnsi="Arial" w:cs="Arial"/>
                <w:color w:val="000000" w:themeColor="text1"/>
              </w:rPr>
              <w:t>zamknięcia</w:t>
            </w:r>
            <w:r w:rsidR="000A52BD" w:rsidRPr="00951E3B">
              <w:rPr>
                <w:rFonts w:ascii="Arial" w:hAnsi="Arial" w:cs="Arial"/>
                <w:color w:val="000000" w:themeColor="text1"/>
              </w:rPr>
              <w:t xml:space="preserve">. </w:t>
            </w:r>
            <w:r w:rsidR="0089587E" w:rsidRPr="00951E3B">
              <w:rPr>
                <w:rFonts w:ascii="Arial" w:hAnsi="Arial" w:cs="Arial"/>
                <w:color w:val="000000" w:themeColor="text1"/>
              </w:rPr>
              <w:t xml:space="preserve">Wygaszanie i </w:t>
            </w:r>
            <w:r w:rsidR="00D72650" w:rsidRPr="00951E3B">
              <w:rPr>
                <w:rFonts w:ascii="Arial" w:hAnsi="Arial" w:cs="Arial"/>
                <w:color w:val="000000" w:themeColor="text1"/>
              </w:rPr>
              <w:t>zamykanie to będzie następowało</w:t>
            </w:r>
            <w:r w:rsidR="00315560" w:rsidRPr="00951E3B">
              <w:rPr>
                <w:rFonts w:ascii="Arial" w:hAnsi="Arial" w:cs="Arial"/>
                <w:color w:val="000000" w:themeColor="text1"/>
              </w:rPr>
              <w:t xml:space="preserve"> </w:t>
            </w:r>
            <w:r w:rsidR="00A50B70" w:rsidRPr="00951E3B">
              <w:rPr>
                <w:rFonts w:ascii="Arial" w:hAnsi="Arial" w:cs="Arial"/>
                <w:color w:val="000000" w:themeColor="text1"/>
              </w:rPr>
              <w:t>w</w:t>
            </w:r>
            <w:r w:rsidR="001B4283" w:rsidRPr="00951E3B">
              <w:rPr>
                <w:rFonts w:ascii="Arial" w:hAnsi="Arial" w:cs="Arial"/>
                <w:color w:val="000000" w:themeColor="text1"/>
              </w:rPr>
              <w:t>edług</w:t>
            </w:r>
            <w:r w:rsidR="00A50B70" w:rsidRPr="00951E3B">
              <w:rPr>
                <w:rFonts w:ascii="Arial" w:hAnsi="Arial" w:cs="Arial"/>
                <w:color w:val="000000" w:themeColor="text1"/>
              </w:rPr>
              <w:t xml:space="preserve"> przyjętego harmonogramu </w:t>
            </w:r>
            <w:r w:rsidR="00394152" w:rsidRPr="00951E3B">
              <w:rPr>
                <w:rFonts w:ascii="Arial" w:hAnsi="Arial" w:cs="Arial"/>
                <w:color w:val="000000" w:themeColor="text1"/>
              </w:rPr>
              <w:t xml:space="preserve">ustalonego w ramach </w:t>
            </w:r>
            <w:r w:rsidR="00B875A9" w:rsidRPr="00951E3B">
              <w:rPr>
                <w:rFonts w:ascii="Arial" w:hAnsi="Arial" w:cs="Arial"/>
                <w:color w:val="000000" w:themeColor="text1"/>
              </w:rPr>
              <w:t>U</w:t>
            </w:r>
            <w:r w:rsidR="00394152" w:rsidRPr="00951E3B">
              <w:rPr>
                <w:rFonts w:ascii="Arial" w:hAnsi="Arial" w:cs="Arial"/>
                <w:color w:val="000000" w:themeColor="text1"/>
              </w:rPr>
              <w:t xml:space="preserve">mowy </w:t>
            </w:r>
            <w:r w:rsidR="00B875A9" w:rsidRPr="00951E3B">
              <w:rPr>
                <w:rFonts w:ascii="Arial" w:hAnsi="Arial" w:cs="Arial"/>
                <w:color w:val="000000" w:themeColor="text1"/>
              </w:rPr>
              <w:t>S</w:t>
            </w:r>
            <w:r w:rsidR="00394152" w:rsidRPr="00951E3B">
              <w:rPr>
                <w:rFonts w:ascii="Arial" w:hAnsi="Arial" w:cs="Arial"/>
                <w:color w:val="000000" w:themeColor="text1"/>
              </w:rPr>
              <w:t xml:space="preserve">połecznej w dniu </w:t>
            </w:r>
            <w:r w:rsidR="001B4283" w:rsidRPr="00951E3B">
              <w:rPr>
                <w:rFonts w:ascii="Arial" w:hAnsi="Arial" w:cs="Arial"/>
                <w:color w:val="000000" w:themeColor="text1"/>
              </w:rPr>
              <w:t>[</w:t>
            </w:r>
            <w:r w:rsidR="001B4283" w:rsidRPr="00951E3B">
              <w:rPr>
                <w:rFonts w:ascii="Arial" w:hAnsi="Arial" w:cs="Arial"/>
                <w:color w:val="000000" w:themeColor="text1"/>
                <w:highlight w:val="yellow"/>
              </w:rPr>
              <w:t>…</w:t>
            </w:r>
            <w:r w:rsidR="001B4283" w:rsidRPr="00951E3B">
              <w:rPr>
                <w:rFonts w:ascii="Arial" w:hAnsi="Arial" w:cs="Arial"/>
                <w:color w:val="000000" w:themeColor="text1"/>
              </w:rPr>
              <w:t>]</w:t>
            </w:r>
            <w:r w:rsidR="00CF700B" w:rsidRPr="00951E3B">
              <w:rPr>
                <w:rFonts w:ascii="Arial" w:hAnsi="Arial" w:cs="Arial"/>
                <w:color w:val="000000" w:themeColor="text1"/>
              </w:rPr>
              <w:t>.</w:t>
            </w:r>
          </w:p>
          <w:p w14:paraId="21B5D090" w14:textId="1597CD02" w:rsidR="00A04842" w:rsidRPr="00951E3B" w:rsidRDefault="00A04842" w:rsidP="00070209">
            <w:pPr>
              <w:pStyle w:val="H2"/>
              <w:rPr>
                <w:rFonts w:ascii="Arial" w:hAnsi="Arial" w:cs="Arial"/>
                <w:color w:val="000000" w:themeColor="text1"/>
                <w:szCs w:val="22"/>
              </w:rPr>
            </w:pPr>
            <w:r w:rsidRPr="00951E3B">
              <w:rPr>
                <w:rFonts w:ascii="Arial" w:hAnsi="Arial" w:cs="Arial"/>
                <w:color w:val="000000" w:themeColor="text1"/>
                <w:szCs w:val="22"/>
              </w:rPr>
              <w:t xml:space="preserve">Do czasu </w:t>
            </w:r>
            <w:r w:rsidR="0090452E" w:rsidRPr="00951E3B">
              <w:rPr>
                <w:rFonts w:ascii="Arial" w:hAnsi="Arial" w:cs="Arial"/>
                <w:color w:val="000000" w:themeColor="text1"/>
                <w:szCs w:val="22"/>
              </w:rPr>
              <w:t>zakończenia wydobycia</w:t>
            </w:r>
            <w:r w:rsidRPr="00951E3B">
              <w:rPr>
                <w:rFonts w:ascii="Arial" w:hAnsi="Arial" w:cs="Arial"/>
                <w:color w:val="000000" w:themeColor="text1"/>
                <w:szCs w:val="22"/>
              </w:rPr>
              <w:t xml:space="preserve"> w danej </w:t>
            </w:r>
            <w:r w:rsidR="00A84A77" w:rsidRPr="00951E3B">
              <w:rPr>
                <w:rFonts w:ascii="Arial" w:hAnsi="Arial" w:cs="Arial"/>
                <w:color w:val="000000" w:themeColor="text1"/>
                <w:szCs w:val="22"/>
              </w:rPr>
              <w:t>jednostce produkcyjnej,</w:t>
            </w:r>
            <w:r w:rsidR="0010248E" w:rsidRPr="00951E3B">
              <w:rPr>
                <w:rFonts w:ascii="Arial" w:hAnsi="Arial" w:cs="Arial"/>
                <w:color w:val="000000" w:themeColor="text1"/>
                <w:szCs w:val="22"/>
              </w:rPr>
              <w:t xml:space="preserve"> </w:t>
            </w:r>
            <w:r w:rsidRPr="00951E3B">
              <w:rPr>
                <w:rFonts w:ascii="Arial" w:hAnsi="Arial" w:cs="Arial"/>
                <w:color w:val="000000" w:themeColor="text1"/>
                <w:szCs w:val="22"/>
              </w:rPr>
              <w:t xml:space="preserve">zgodnie z przyjętym harmonogramem, </w:t>
            </w:r>
            <w:r w:rsidR="00B875A9" w:rsidRPr="00951E3B">
              <w:rPr>
                <w:rFonts w:ascii="Arial" w:hAnsi="Arial" w:cs="Arial"/>
                <w:color w:val="000000" w:themeColor="text1"/>
                <w:szCs w:val="22"/>
              </w:rPr>
              <w:t xml:space="preserve">jednostka </w:t>
            </w:r>
            <w:r w:rsidRPr="00951E3B">
              <w:rPr>
                <w:rFonts w:ascii="Arial" w:hAnsi="Arial" w:cs="Arial"/>
                <w:color w:val="000000" w:themeColor="text1"/>
                <w:szCs w:val="22"/>
              </w:rPr>
              <w:t>ta będzie korzystać z dopłaty do redukcji zdolności produkcyjnych</w:t>
            </w:r>
            <w:r w:rsidR="003508EB" w:rsidRPr="00951E3B">
              <w:rPr>
                <w:rFonts w:ascii="Arial" w:hAnsi="Arial" w:cs="Arial"/>
                <w:color w:val="000000" w:themeColor="text1"/>
                <w:szCs w:val="22"/>
              </w:rPr>
              <w:t>.</w:t>
            </w:r>
          </w:p>
          <w:p w14:paraId="418A13EF" w14:textId="283248BA" w:rsidR="000A52BD" w:rsidRPr="00951E3B" w:rsidRDefault="00B26449" w:rsidP="00070209">
            <w:pPr>
              <w:pStyle w:val="H2"/>
              <w:rPr>
                <w:rFonts w:ascii="Arial" w:hAnsi="Arial" w:cs="Arial"/>
                <w:color w:val="000000" w:themeColor="text1"/>
                <w:szCs w:val="22"/>
              </w:rPr>
            </w:pPr>
            <w:r w:rsidRPr="00951E3B">
              <w:rPr>
                <w:rFonts w:ascii="Arial" w:hAnsi="Arial" w:cs="Arial"/>
                <w:color w:val="000000" w:themeColor="text1"/>
                <w:szCs w:val="22"/>
              </w:rPr>
              <w:t>Harmonogram</w:t>
            </w:r>
            <w:r w:rsidR="000A52BD" w:rsidRPr="00951E3B">
              <w:rPr>
                <w:rFonts w:ascii="Arial" w:hAnsi="Arial" w:cs="Arial"/>
                <w:color w:val="000000" w:themeColor="text1"/>
                <w:szCs w:val="22"/>
              </w:rPr>
              <w:t xml:space="preserve"> </w:t>
            </w:r>
            <w:r w:rsidR="00A84A77" w:rsidRPr="00951E3B">
              <w:rPr>
                <w:rFonts w:ascii="Arial" w:hAnsi="Arial" w:cs="Arial"/>
                <w:color w:val="000000" w:themeColor="text1"/>
                <w:szCs w:val="22"/>
              </w:rPr>
              <w:t xml:space="preserve">stopniowego wygaszania </w:t>
            </w:r>
            <w:r w:rsidR="000A52BD" w:rsidRPr="00951E3B">
              <w:rPr>
                <w:rFonts w:ascii="Arial" w:hAnsi="Arial" w:cs="Arial"/>
                <w:color w:val="000000" w:themeColor="text1"/>
                <w:szCs w:val="22"/>
              </w:rPr>
              <w:t xml:space="preserve">i zamykania poszczególnych jednostek produkcyjnych węgla kamiennego </w:t>
            </w:r>
            <w:r w:rsidR="00B42788" w:rsidRPr="00951E3B">
              <w:rPr>
                <w:rFonts w:ascii="Arial" w:hAnsi="Arial" w:cs="Arial"/>
                <w:color w:val="000000" w:themeColor="text1"/>
                <w:szCs w:val="22"/>
              </w:rPr>
              <w:t>został określony na podstawie</w:t>
            </w:r>
            <w:r w:rsidR="000A52BD" w:rsidRPr="00951E3B">
              <w:rPr>
                <w:rFonts w:ascii="Arial" w:hAnsi="Arial" w:cs="Arial"/>
                <w:color w:val="000000" w:themeColor="text1"/>
                <w:szCs w:val="22"/>
              </w:rPr>
              <w:t>:</w:t>
            </w:r>
          </w:p>
          <w:p w14:paraId="692B9BB4" w14:textId="7BA08004" w:rsidR="000A52BD" w:rsidRPr="00951E3B" w:rsidRDefault="000A52BD" w:rsidP="00F676E6">
            <w:pPr>
              <w:pStyle w:val="H5"/>
              <w:rPr>
                <w:rFonts w:ascii="Arial" w:hAnsi="Arial" w:cs="Arial"/>
                <w:color w:val="000000" w:themeColor="text1"/>
                <w:szCs w:val="22"/>
              </w:rPr>
            </w:pPr>
            <w:r w:rsidRPr="00951E3B">
              <w:rPr>
                <w:rFonts w:ascii="Arial" w:hAnsi="Arial" w:cs="Arial"/>
                <w:color w:val="000000" w:themeColor="text1"/>
                <w:szCs w:val="22"/>
              </w:rPr>
              <w:t>zidentyfikowanego zapotrzebowania i zagwarantowania bezpieczeństwa energetycznego państwa</w:t>
            </w:r>
            <w:r w:rsidR="00A84A77" w:rsidRPr="00951E3B">
              <w:rPr>
                <w:rFonts w:ascii="Arial" w:hAnsi="Arial" w:cs="Arial"/>
                <w:color w:val="000000" w:themeColor="text1"/>
                <w:szCs w:val="22"/>
              </w:rPr>
              <w:t>,</w:t>
            </w:r>
            <w:r w:rsidR="00066990" w:rsidRPr="00951E3B">
              <w:rPr>
                <w:rFonts w:ascii="Arial" w:hAnsi="Arial" w:cs="Arial"/>
                <w:color w:val="000000" w:themeColor="text1"/>
                <w:szCs w:val="22"/>
              </w:rPr>
              <w:t xml:space="preserve"> wynikającego z Polityki Energetycznej Państwa </w:t>
            </w:r>
            <w:r w:rsidR="00520044" w:rsidRPr="00951E3B">
              <w:rPr>
                <w:rFonts w:ascii="Arial" w:hAnsi="Arial" w:cs="Arial"/>
                <w:color w:val="000000" w:themeColor="text1"/>
                <w:szCs w:val="22"/>
              </w:rPr>
              <w:t>przyjętej w dniu</w:t>
            </w:r>
            <w:r w:rsidR="00153EBC" w:rsidRPr="00951E3B">
              <w:rPr>
                <w:rFonts w:ascii="Arial" w:hAnsi="Arial" w:cs="Arial"/>
                <w:color w:val="000000" w:themeColor="text1"/>
                <w:szCs w:val="22"/>
              </w:rPr>
              <w:t xml:space="preserve"> </w:t>
            </w:r>
            <w:r w:rsidR="00F81DDF" w:rsidRPr="00951E3B">
              <w:rPr>
                <w:rFonts w:ascii="Arial" w:hAnsi="Arial" w:cs="Arial"/>
                <w:color w:val="000000" w:themeColor="text1"/>
                <w:szCs w:val="22"/>
              </w:rPr>
              <w:t xml:space="preserve">2 lutego 2021 r. </w:t>
            </w:r>
            <w:r w:rsidR="00520044" w:rsidRPr="00951E3B">
              <w:rPr>
                <w:rFonts w:ascii="Arial" w:hAnsi="Arial" w:cs="Arial"/>
                <w:color w:val="000000" w:themeColor="text1"/>
                <w:szCs w:val="22"/>
              </w:rPr>
              <w:t xml:space="preserve">oraz </w:t>
            </w:r>
            <w:r w:rsidR="00153EBC" w:rsidRPr="00951E3B">
              <w:rPr>
                <w:rFonts w:ascii="Arial" w:hAnsi="Arial" w:cs="Arial"/>
                <w:color w:val="000000" w:themeColor="text1"/>
                <w:szCs w:val="22"/>
              </w:rPr>
              <w:t xml:space="preserve">z uwzględnieniem </w:t>
            </w:r>
            <w:r w:rsidR="00520044" w:rsidRPr="00951E3B">
              <w:rPr>
                <w:rFonts w:ascii="Arial" w:hAnsi="Arial" w:cs="Arial"/>
                <w:color w:val="000000" w:themeColor="text1"/>
                <w:szCs w:val="22"/>
              </w:rPr>
              <w:t xml:space="preserve">zapisów rozdziału II Umowy </w:t>
            </w:r>
            <w:r w:rsidR="00B875A9" w:rsidRPr="00951E3B">
              <w:rPr>
                <w:rFonts w:ascii="Arial" w:hAnsi="Arial" w:cs="Arial"/>
                <w:color w:val="000000" w:themeColor="text1"/>
                <w:szCs w:val="22"/>
              </w:rPr>
              <w:t>S</w:t>
            </w:r>
            <w:r w:rsidR="00520044" w:rsidRPr="00951E3B">
              <w:rPr>
                <w:rFonts w:ascii="Arial" w:hAnsi="Arial" w:cs="Arial"/>
                <w:color w:val="000000" w:themeColor="text1"/>
                <w:szCs w:val="22"/>
              </w:rPr>
              <w:t>połecznej zawartej w dniu</w:t>
            </w:r>
            <w:r w:rsidR="00870BAA" w:rsidRPr="00951E3B">
              <w:rPr>
                <w:rFonts w:ascii="Arial" w:hAnsi="Arial" w:cs="Arial"/>
                <w:color w:val="000000" w:themeColor="text1"/>
                <w:szCs w:val="22"/>
              </w:rPr>
              <w:t xml:space="preserve"> </w:t>
            </w:r>
            <w:r w:rsidR="00520044" w:rsidRPr="00951E3B">
              <w:rPr>
                <w:rFonts w:ascii="Arial" w:hAnsi="Arial" w:cs="Arial"/>
                <w:color w:val="000000" w:themeColor="text1"/>
                <w:szCs w:val="22"/>
              </w:rPr>
              <w:t>[</w:t>
            </w:r>
            <w:r w:rsidR="00520044" w:rsidRPr="00951E3B">
              <w:rPr>
                <w:rFonts w:ascii="Arial" w:hAnsi="Arial" w:cs="Arial"/>
                <w:color w:val="000000" w:themeColor="text1"/>
                <w:szCs w:val="22"/>
                <w:highlight w:val="yellow"/>
              </w:rPr>
              <w:t>…</w:t>
            </w:r>
            <w:r w:rsidR="00520044" w:rsidRPr="00951E3B">
              <w:rPr>
                <w:rFonts w:ascii="Arial" w:hAnsi="Arial" w:cs="Arial"/>
                <w:color w:val="000000" w:themeColor="text1"/>
                <w:szCs w:val="22"/>
              </w:rPr>
              <w:t>]</w:t>
            </w:r>
            <w:r w:rsidR="007323AF" w:rsidRPr="00951E3B">
              <w:rPr>
                <w:rFonts w:ascii="Arial" w:hAnsi="Arial" w:cs="Arial"/>
                <w:color w:val="000000" w:themeColor="text1"/>
                <w:szCs w:val="22"/>
              </w:rPr>
              <w:t>,</w:t>
            </w:r>
          </w:p>
          <w:p w14:paraId="4901271A" w14:textId="187334AF" w:rsidR="000A52BD" w:rsidRPr="00951E3B" w:rsidRDefault="000A52BD" w:rsidP="00F676E6">
            <w:pPr>
              <w:pStyle w:val="H5"/>
              <w:rPr>
                <w:rFonts w:ascii="Arial" w:hAnsi="Arial" w:cs="Arial"/>
                <w:color w:val="000000" w:themeColor="text1"/>
                <w:szCs w:val="22"/>
              </w:rPr>
            </w:pPr>
            <w:r w:rsidRPr="00951E3B">
              <w:rPr>
                <w:rFonts w:ascii="Arial" w:hAnsi="Arial" w:cs="Arial"/>
                <w:color w:val="000000" w:themeColor="text1"/>
                <w:szCs w:val="22"/>
              </w:rPr>
              <w:t xml:space="preserve">minimalizacji negatywnego wpływu na </w:t>
            </w:r>
            <w:r w:rsidR="009F2FA9" w:rsidRPr="00951E3B">
              <w:rPr>
                <w:rFonts w:ascii="Arial" w:hAnsi="Arial" w:cs="Arial"/>
                <w:color w:val="000000" w:themeColor="text1"/>
                <w:szCs w:val="22"/>
              </w:rPr>
              <w:t xml:space="preserve">lokalny </w:t>
            </w:r>
            <w:r w:rsidRPr="00951E3B">
              <w:rPr>
                <w:rFonts w:ascii="Arial" w:hAnsi="Arial" w:cs="Arial"/>
                <w:color w:val="000000" w:themeColor="text1"/>
                <w:szCs w:val="22"/>
              </w:rPr>
              <w:t>rynek pracy i tkankę społeczną</w:t>
            </w:r>
            <w:r w:rsidR="009F2FA9" w:rsidRPr="00951E3B">
              <w:rPr>
                <w:rFonts w:ascii="Arial" w:hAnsi="Arial" w:cs="Arial"/>
                <w:color w:val="000000" w:themeColor="text1"/>
                <w:szCs w:val="22"/>
              </w:rPr>
              <w:t xml:space="preserve"> Województwa Śląskiego</w:t>
            </w:r>
            <w:r w:rsidR="00A84A77" w:rsidRPr="00951E3B">
              <w:rPr>
                <w:rFonts w:ascii="Arial" w:hAnsi="Arial" w:cs="Arial"/>
                <w:color w:val="000000" w:themeColor="text1"/>
                <w:szCs w:val="22"/>
              </w:rPr>
              <w:t>,</w:t>
            </w:r>
            <w:r w:rsidRPr="00951E3B">
              <w:rPr>
                <w:rFonts w:ascii="Arial" w:hAnsi="Arial" w:cs="Arial"/>
                <w:color w:val="000000" w:themeColor="text1"/>
                <w:szCs w:val="22"/>
              </w:rPr>
              <w:t xml:space="preserve"> </w:t>
            </w:r>
          </w:p>
          <w:p w14:paraId="4C45DAB3" w14:textId="60D22E78" w:rsidR="000A52BD" w:rsidRPr="00951E3B" w:rsidRDefault="000A52BD" w:rsidP="00F676E6">
            <w:pPr>
              <w:pStyle w:val="H5"/>
              <w:rPr>
                <w:rFonts w:ascii="Arial" w:hAnsi="Arial" w:cs="Arial"/>
                <w:color w:val="000000" w:themeColor="text1"/>
                <w:szCs w:val="22"/>
              </w:rPr>
            </w:pPr>
            <w:r w:rsidRPr="00951E3B">
              <w:rPr>
                <w:rFonts w:ascii="Arial" w:hAnsi="Arial" w:cs="Arial"/>
                <w:color w:val="000000" w:themeColor="text1"/>
                <w:szCs w:val="22"/>
              </w:rPr>
              <w:t xml:space="preserve">minimalizacji negatywnego wpływu na gospodarkę regionu </w:t>
            </w:r>
            <w:r w:rsidR="003E2154" w:rsidRPr="00951E3B">
              <w:rPr>
                <w:rFonts w:ascii="Arial" w:hAnsi="Arial" w:cs="Arial"/>
                <w:color w:val="000000" w:themeColor="text1"/>
                <w:szCs w:val="22"/>
              </w:rPr>
              <w:t xml:space="preserve">śląskiego </w:t>
            </w:r>
            <w:r w:rsidRPr="00951E3B">
              <w:rPr>
                <w:rFonts w:ascii="Arial" w:hAnsi="Arial" w:cs="Arial"/>
                <w:color w:val="000000" w:themeColor="text1"/>
                <w:szCs w:val="22"/>
              </w:rPr>
              <w:t>i obszarów górniczych</w:t>
            </w:r>
            <w:r w:rsidR="009F2FA9" w:rsidRPr="00951E3B">
              <w:rPr>
                <w:rFonts w:ascii="Arial" w:hAnsi="Arial" w:cs="Arial"/>
                <w:color w:val="000000" w:themeColor="text1"/>
                <w:szCs w:val="22"/>
              </w:rPr>
              <w:t xml:space="preserve"> poszczególnych gmin</w:t>
            </w:r>
            <w:r w:rsidR="00A84A77" w:rsidRPr="00951E3B">
              <w:rPr>
                <w:rFonts w:ascii="Arial" w:hAnsi="Arial" w:cs="Arial"/>
                <w:color w:val="000000" w:themeColor="text1"/>
                <w:szCs w:val="22"/>
              </w:rPr>
              <w:t>,</w:t>
            </w:r>
          </w:p>
          <w:p w14:paraId="2EE3DF18" w14:textId="575C25CB" w:rsidR="000A52BD" w:rsidRPr="00951E3B" w:rsidRDefault="000A52BD" w:rsidP="00F676E6">
            <w:pPr>
              <w:pStyle w:val="H5"/>
              <w:rPr>
                <w:rFonts w:ascii="Arial" w:hAnsi="Arial" w:cs="Arial"/>
                <w:color w:val="000000" w:themeColor="text1"/>
                <w:szCs w:val="22"/>
              </w:rPr>
            </w:pPr>
            <w:r w:rsidRPr="00951E3B">
              <w:rPr>
                <w:rFonts w:ascii="Arial" w:hAnsi="Arial" w:cs="Arial"/>
                <w:color w:val="000000" w:themeColor="text1"/>
                <w:szCs w:val="22"/>
              </w:rPr>
              <w:t xml:space="preserve">specyfiki i roli poszczególnych jednostek w ramach systemu energetycznego i ich wskaźników operacyjnych (z uwzględnieniem </w:t>
            </w:r>
            <w:r w:rsidR="00A84A77" w:rsidRPr="00951E3B">
              <w:rPr>
                <w:rFonts w:ascii="Arial" w:hAnsi="Arial" w:cs="Arial"/>
                <w:color w:val="000000" w:themeColor="text1"/>
                <w:szCs w:val="22"/>
              </w:rPr>
              <w:t xml:space="preserve">analizy wskaźnikowej </w:t>
            </w:r>
            <w:r w:rsidR="00B875A9" w:rsidRPr="00951E3B">
              <w:rPr>
                <w:rFonts w:ascii="Arial" w:hAnsi="Arial" w:cs="Arial"/>
                <w:color w:val="000000" w:themeColor="text1"/>
                <w:szCs w:val="22"/>
              </w:rPr>
              <w:t xml:space="preserve">jednostek produkcyjnych </w:t>
            </w:r>
            <w:r w:rsidRPr="00951E3B">
              <w:rPr>
                <w:rFonts w:ascii="Arial" w:hAnsi="Arial" w:cs="Arial"/>
                <w:color w:val="000000" w:themeColor="text1"/>
                <w:szCs w:val="22"/>
              </w:rPr>
              <w:t xml:space="preserve">oraz programów operacyjnych poszczególnych jednostek </w:t>
            </w:r>
            <w:r w:rsidR="00B875A9" w:rsidRPr="00951E3B">
              <w:rPr>
                <w:rFonts w:ascii="Arial" w:hAnsi="Arial" w:cs="Arial"/>
                <w:color w:val="000000" w:themeColor="text1"/>
                <w:szCs w:val="22"/>
              </w:rPr>
              <w:t xml:space="preserve">produkcyjnych </w:t>
            </w:r>
            <w:r w:rsidRPr="00951E3B">
              <w:rPr>
                <w:rFonts w:ascii="Arial" w:hAnsi="Arial" w:cs="Arial"/>
                <w:color w:val="000000" w:themeColor="text1"/>
                <w:szCs w:val="22"/>
              </w:rPr>
              <w:t>na przyszłość)</w:t>
            </w:r>
            <w:r w:rsidR="00A84A77" w:rsidRPr="00951E3B">
              <w:rPr>
                <w:rFonts w:ascii="Arial" w:hAnsi="Arial" w:cs="Arial"/>
                <w:color w:val="000000" w:themeColor="text1"/>
                <w:szCs w:val="22"/>
              </w:rPr>
              <w:t>,</w:t>
            </w:r>
          </w:p>
          <w:p w14:paraId="28E703D0" w14:textId="4A30517B" w:rsidR="000A52BD" w:rsidRPr="00951E3B" w:rsidRDefault="00675F51" w:rsidP="007323AF">
            <w:pPr>
              <w:pStyle w:val="H5"/>
              <w:rPr>
                <w:rFonts w:ascii="Arial" w:hAnsi="Arial" w:cs="Arial"/>
                <w:color w:val="000000" w:themeColor="text1"/>
                <w:szCs w:val="22"/>
              </w:rPr>
            </w:pPr>
            <w:r w:rsidRPr="00951E3B">
              <w:rPr>
                <w:rFonts w:ascii="Arial" w:hAnsi="Arial" w:cs="Arial"/>
                <w:color w:val="000000" w:themeColor="text1"/>
                <w:szCs w:val="22"/>
              </w:rPr>
              <w:t>aktualnie przyjętego na dzień podpisania Umowy Społecznej kształtu polityki i celów klimatycznych zarówno na poziomie krajowym jak i unijnym</w:t>
            </w:r>
            <w:r w:rsidR="00A84A77" w:rsidRPr="00951E3B">
              <w:rPr>
                <w:rFonts w:ascii="Arial" w:hAnsi="Arial" w:cs="Arial"/>
                <w:color w:val="000000" w:themeColor="text1"/>
                <w:szCs w:val="22"/>
              </w:rPr>
              <w:t>.</w:t>
            </w:r>
          </w:p>
          <w:p w14:paraId="6AD72151" w14:textId="5A5D3EB1" w:rsidR="003126E4" w:rsidRPr="00951E3B" w:rsidRDefault="00C81BA3" w:rsidP="00F676E6">
            <w:pPr>
              <w:pStyle w:val="H2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951E3B">
              <w:rPr>
                <w:rFonts w:ascii="Arial" w:hAnsi="Arial" w:cs="Arial"/>
                <w:b/>
                <w:color w:val="000000" w:themeColor="text1"/>
                <w:szCs w:val="22"/>
              </w:rPr>
              <w:t>Etap I</w:t>
            </w:r>
            <w:r w:rsidR="004F7997" w:rsidRPr="00951E3B"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 wdrożenia systemu</w:t>
            </w:r>
            <w:r w:rsidR="00587AE4" w:rsidRPr="00951E3B"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 – podstawowe zasady</w:t>
            </w:r>
            <w:r w:rsidRPr="00951E3B">
              <w:rPr>
                <w:rFonts w:ascii="Arial" w:hAnsi="Arial" w:cs="Arial"/>
                <w:b/>
                <w:color w:val="000000" w:themeColor="text1"/>
                <w:szCs w:val="22"/>
              </w:rPr>
              <w:t>:</w:t>
            </w:r>
          </w:p>
          <w:p w14:paraId="613DCECE" w14:textId="20FF9BF1" w:rsidR="00C81BA3" w:rsidRPr="00951E3B" w:rsidRDefault="00DB1E4F" w:rsidP="00F676E6">
            <w:pPr>
              <w:pStyle w:val="H3"/>
              <w:rPr>
                <w:rFonts w:ascii="Arial" w:hAnsi="Arial" w:cs="Arial"/>
                <w:color w:val="000000" w:themeColor="text1"/>
                <w:szCs w:val="22"/>
              </w:rPr>
            </w:pPr>
            <w:r w:rsidRPr="00951E3B">
              <w:rPr>
                <w:rFonts w:ascii="Arial" w:hAnsi="Arial" w:cs="Arial"/>
                <w:color w:val="000000" w:themeColor="text1"/>
                <w:szCs w:val="22"/>
              </w:rPr>
              <w:t>Harmonogram</w:t>
            </w:r>
            <w:r w:rsidR="00C81BA3" w:rsidRPr="00951E3B">
              <w:rPr>
                <w:rFonts w:ascii="Arial" w:hAnsi="Arial" w:cs="Arial"/>
                <w:color w:val="000000" w:themeColor="text1"/>
                <w:szCs w:val="22"/>
              </w:rPr>
              <w:t xml:space="preserve"> </w:t>
            </w:r>
            <w:r w:rsidR="00A84A77" w:rsidRPr="00951E3B">
              <w:rPr>
                <w:rFonts w:ascii="Arial" w:hAnsi="Arial" w:cs="Arial"/>
                <w:color w:val="000000" w:themeColor="text1"/>
                <w:szCs w:val="22"/>
              </w:rPr>
              <w:t xml:space="preserve">stopniowego wygaszania i zamykania </w:t>
            </w:r>
            <w:r w:rsidR="00C81BA3" w:rsidRPr="00951E3B">
              <w:rPr>
                <w:rFonts w:ascii="Arial" w:hAnsi="Arial" w:cs="Arial"/>
                <w:color w:val="000000" w:themeColor="text1"/>
                <w:szCs w:val="22"/>
              </w:rPr>
              <w:t xml:space="preserve">jednostek produkcyjnych </w:t>
            </w:r>
            <w:r w:rsidR="000A52BD" w:rsidRPr="00951E3B">
              <w:rPr>
                <w:rFonts w:ascii="Arial" w:hAnsi="Arial" w:cs="Arial"/>
                <w:color w:val="000000" w:themeColor="text1"/>
                <w:szCs w:val="22"/>
              </w:rPr>
              <w:t>–</w:t>
            </w:r>
            <w:r w:rsidR="0010248E" w:rsidRPr="00951E3B">
              <w:rPr>
                <w:rFonts w:ascii="Arial" w:hAnsi="Arial" w:cs="Arial"/>
                <w:color w:val="000000" w:themeColor="text1"/>
                <w:szCs w:val="22"/>
              </w:rPr>
              <w:t xml:space="preserve"> </w:t>
            </w:r>
            <w:r w:rsidR="00A84A77" w:rsidRPr="00951E3B">
              <w:rPr>
                <w:rFonts w:ascii="Arial" w:hAnsi="Arial" w:cs="Arial"/>
                <w:color w:val="000000" w:themeColor="text1"/>
                <w:szCs w:val="22"/>
              </w:rPr>
              <w:t>m.in. w oparciu o analizę wskaźnikową</w:t>
            </w:r>
            <w:r w:rsidR="00B875A9" w:rsidRPr="00951E3B">
              <w:rPr>
                <w:rFonts w:ascii="Arial" w:hAnsi="Arial" w:cs="Arial"/>
                <w:color w:val="000000" w:themeColor="text1"/>
                <w:szCs w:val="22"/>
              </w:rPr>
              <w:t xml:space="preserve"> jednostek produkcyjnych</w:t>
            </w:r>
            <w:r w:rsidR="00A84A77" w:rsidRPr="00951E3B">
              <w:rPr>
                <w:rFonts w:ascii="Arial" w:hAnsi="Arial" w:cs="Arial"/>
                <w:color w:val="000000" w:themeColor="text1"/>
                <w:szCs w:val="22"/>
              </w:rPr>
              <w:t>, tzn.:</w:t>
            </w:r>
          </w:p>
          <w:p w14:paraId="136AF90A" w14:textId="56BE7A86" w:rsidR="003126E4" w:rsidRPr="00951E3B" w:rsidRDefault="00603127" w:rsidP="0010248E">
            <w:pPr>
              <w:pStyle w:val="H5"/>
              <w:tabs>
                <w:tab w:val="clear" w:pos="2268"/>
                <w:tab w:val="left" w:pos="1450"/>
              </w:tabs>
              <w:ind w:left="1450" w:hanging="851"/>
              <w:rPr>
                <w:rFonts w:ascii="Arial" w:hAnsi="Arial" w:cs="Arial"/>
                <w:color w:val="000000" w:themeColor="text1"/>
                <w:szCs w:val="22"/>
              </w:rPr>
            </w:pPr>
            <w:r w:rsidRPr="00951E3B">
              <w:rPr>
                <w:rFonts w:ascii="Arial" w:hAnsi="Arial" w:cs="Arial"/>
                <w:color w:val="000000" w:themeColor="text1"/>
                <w:szCs w:val="22"/>
              </w:rPr>
              <w:t xml:space="preserve">pod uwagę </w:t>
            </w:r>
            <w:r w:rsidR="00B42788" w:rsidRPr="00951E3B">
              <w:rPr>
                <w:rFonts w:ascii="Arial" w:hAnsi="Arial" w:cs="Arial"/>
                <w:color w:val="000000" w:themeColor="text1"/>
                <w:szCs w:val="22"/>
              </w:rPr>
              <w:t xml:space="preserve">zostały </w:t>
            </w:r>
            <w:r w:rsidRPr="00951E3B">
              <w:rPr>
                <w:rFonts w:ascii="Arial" w:hAnsi="Arial" w:cs="Arial"/>
                <w:color w:val="000000" w:themeColor="text1"/>
                <w:szCs w:val="22"/>
              </w:rPr>
              <w:t>wzięte konkretne</w:t>
            </w:r>
            <w:r w:rsidR="000A52BD" w:rsidRPr="00951E3B">
              <w:rPr>
                <w:rFonts w:ascii="Arial" w:hAnsi="Arial" w:cs="Arial"/>
                <w:color w:val="000000" w:themeColor="text1"/>
                <w:szCs w:val="22"/>
              </w:rPr>
              <w:t xml:space="preserve"> w</w:t>
            </w:r>
            <w:r w:rsidR="003126E4" w:rsidRPr="00951E3B">
              <w:rPr>
                <w:rFonts w:ascii="Arial" w:hAnsi="Arial" w:cs="Arial"/>
                <w:color w:val="000000" w:themeColor="text1"/>
                <w:szCs w:val="22"/>
              </w:rPr>
              <w:t xml:space="preserve">skaźniki </w:t>
            </w:r>
            <w:proofErr w:type="spellStart"/>
            <w:r w:rsidR="00E205C6" w:rsidRPr="00951E3B">
              <w:rPr>
                <w:rFonts w:ascii="Arial" w:hAnsi="Arial" w:cs="Arial"/>
                <w:color w:val="000000" w:themeColor="text1"/>
                <w:szCs w:val="22"/>
              </w:rPr>
              <w:t>techniczno</w:t>
            </w:r>
            <w:proofErr w:type="spellEnd"/>
            <w:r w:rsidR="00E205C6" w:rsidRPr="00951E3B">
              <w:rPr>
                <w:rFonts w:ascii="Arial" w:hAnsi="Arial" w:cs="Arial"/>
                <w:color w:val="000000" w:themeColor="text1"/>
                <w:szCs w:val="22"/>
              </w:rPr>
              <w:t xml:space="preserve"> – ekonomiczne </w:t>
            </w:r>
            <w:r w:rsidR="003126E4" w:rsidRPr="00951E3B">
              <w:rPr>
                <w:rFonts w:ascii="Arial" w:hAnsi="Arial" w:cs="Arial"/>
                <w:color w:val="000000" w:themeColor="text1"/>
                <w:szCs w:val="22"/>
              </w:rPr>
              <w:t>uwzględniające w szczególności następujące elementy związane z funkcjonowaniem poszczególnych jednostek</w:t>
            </w:r>
            <w:r w:rsidR="00B875A9" w:rsidRPr="00951E3B">
              <w:rPr>
                <w:rFonts w:ascii="Arial" w:hAnsi="Arial" w:cs="Arial"/>
                <w:color w:val="000000" w:themeColor="text1"/>
                <w:szCs w:val="22"/>
              </w:rPr>
              <w:t xml:space="preserve"> produkcyjnych</w:t>
            </w:r>
            <w:r w:rsidR="003126E4" w:rsidRPr="00951E3B">
              <w:rPr>
                <w:rFonts w:ascii="Arial" w:hAnsi="Arial" w:cs="Arial"/>
                <w:color w:val="000000" w:themeColor="text1"/>
                <w:szCs w:val="22"/>
              </w:rPr>
              <w:t>:</w:t>
            </w:r>
          </w:p>
          <w:p w14:paraId="09E0BF6A" w14:textId="59AA5564" w:rsidR="003126E4" w:rsidRPr="00951E3B" w:rsidRDefault="003126E4" w:rsidP="0010248E">
            <w:pPr>
              <w:pStyle w:val="H6"/>
              <w:tabs>
                <w:tab w:val="clear" w:pos="3119"/>
                <w:tab w:val="left" w:pos="2300"/>
              </w:tabs>
              <w:ind w:left="2300"/>
              <w:rPr>
                <w:rFonts w:ascii="Arial" w:hAnsi="Arial" w:cs="Arial"/>
                <w:color w:val="000000" w:themeColor="text1"/>
                <w:szCs w:val="22"/>
              </w:rPr>
            </w:pPr>
            <w:r w:rsidRPr="00951E3B">
              <w:rPr>
                <w:rFonts w:ascii="Arial" w:hAnsi="Arial" w:cs="Arial"/>
                <w:color w:val="000000" w:themeColor="text1"/>
                <w:szCs w:val="22"/>
              </w:rPr>
              <w:t>ograniczanie produkcji</w:t>
            </w:r>
            <w:r w:rsidR="007F30AA" w:rsidRPr="00951E3B">
              <w:rPr>
                <w:rFonts w:ascii="Arial" w:hAnsi="Arial" w:cs="Arial"/>
                <w:color w:val="000000" w:themeColor="text1"/>
                <w:szCs w:val="22"/>
              </w:rPr>
              <w:t>,</w:t>
            </w:r>
          </w:p>
          <w:p w14:paraId="0E1C03A0" w14:textId="66105041" w:rsidR="003126E4" w:rsidRPr="00951E3B" w:rsidRDefault="008B1E84" w:rsidP="0010248E">
            <w:pPr>
              <w:pStyle w:val="H6"/>
              <w:tabs>
                <w:tab w:val="clear" w:pos="3119"/>
                <w:tab w:val="left" w:pos="2300"/>
              </w:tabs>
              <w:ind w:left="2300"/>
              <w:rPr>
                <w:rFonts w:ascii="Arial" w:hAnsi="Arial" w:cs="Arial"/>
                <w:color w:val="000000" w:themeColor="text1"/>
                <w:szCs w:val="22"/>
              </w:rPr>
            </w:pPr>
            <w:r w:rsidRPr="00951E3B">
              <w:rPr>
                <w:rFonts w:ascii="Arial" w:hAnsi="Arial" w:cs="Arial"/>
                <w:color w:val="000000" w:themeColor="text1"/>
                <w:szCs w:val="22"/>
              </w:rPr>
              <w:lastRenderedPageBreak/>
              <w:t xml:space="preserve">optymalizacja </w:t>
            </w:r>
            <w:r w:rsidR="003126E4" w:rsidRPr="00951E3B">
              <w:rPr>
                <w:rFonts w:ascii="Arial" w:hAnsi="Arial" w:cs="Arial"/>
                <w:color w:val="000000" w:themeColor="text1"/>
                <w:szCs w:val="22"/>
              </w:rPr>
              <w:t>kosztów produkcji węgla</w:t>
            </w:r>
            <w:r w:rsidR="00A84A77" w:rsidRPr="00951E3B">
              <w:rPr>
                <w:rFonts w:ascii="Arial" w:hAnsi="Arial" w:cs="Arial"/>
                <w:color w:val="000000" w:themeColor="text1"/>
                <w:szCs w:val="22"/>
              </w:rPr>
              <w:t>,</w:t>
            </w:r>
          </w:p>
          <w:p w14:paraId="63C3DADA" w14:textId="206C7863" w:rsidR="003126E4" w:rsidRPr="00951E3B" w:rsidRDefault="003126E4" w:rsidP="0010248E">
            <w:pPr>
              <w:pStyle w:val="H6"/>
              <w:tabs>
                <w:tab w:val="clear" w:pos="3119"/>
                <w:tab w:val="left" w:pos="2300"/>
              </w:tabs>
              <w:ind w:left="2300"/>
              <w:rPr>
                <w:rFonts w:ascii="Arial" w:hAnsi="Arial" w:cs="Arial"/>
                <w:color w:val="000000" w:themeColor="text1"/>
                <w:szCs w:val="22"/>
              </w:rPr>
            </w:pPr>
            <w:r w:rsidRPr="00951E3B">
              <w:rPr>
                <w:rFonts w:ascii="Arial" w:hAnsi="Arial" w:cs="Arial"/>
                <w:color w:val="000000" w:themeColor="text1"/>
                <w:szCs w:val="22"/>
              </w:rPr>
              <w:t>brak inwestycji w nowe złoża</w:t>
            </w:r>
            <w:r w:rsidR="00A84A77" w:rsidRPr="00951E3B">
              <w:rPr>
                <w:rFonts w:ascii="Arial" w:hAnsi="Arial" w:cs="Arial"/>
                <w:color w:val="000000" w:themeColor="text1"/>
                <w:szCs w:val="22"/>
              </w:rPr>
              <w:t>,</w:t>
            </w:r>
            <w:r w:rsidRPr="00951E3B">
              <w:rPr>
                <w:rFonts w:ascii="Arial" w:hAnsi="Arial" w:cs="Arial"/>
                <w:color w:val="000000" w:themeColor="text1"/>
                <w:szCs w:val="22"/>
              </w:rPr>
              <w:t xml:space="preserve"> </w:t>
            </w:r>
          </w:p>
          <w:p w14:paraId="6BAFD334" w14:textId="7ED99B66" w:rsidR="003126E4" w:rsidRPr="00951E3B" w:rsidRDefault="007A724F" w:rsidP="0010248E">
            <w:pPr>
              <w:pStyle w:val="H6"/>
              <w:tabs>
                <w:tab w:val="clear" w:pos="3119"/>
                <w:tab w:val="left" w:pos="2300"/>
              </w:tabs>
              <w:ind w:left="2300"/>
              <w:rPr>
                <w:rFonts w:ascii="Arial" w:hAnsi="Arial" w:cs="Arial"/>
                <w:color w:val="000000" w:themeColor="text1"/>
                <w:szCs w:val="22"/>
              </w:rPr>
            </w:pPr>
            <w:r w:rsidRPr="00951E3B">
              <w:rPr>
                <w:rFonts w:ascii="Arial" w:hAnsi="Arial" w:cs="Arial"/>
                <w:color w:val="000000" w:themeColor="text1"/>
                <w:szCs w:val="22"/>
              </w:rPr>
              <w:t xml:space="preserve">optymalizacja </w:t>
            </w:r>
            <w:r w:rsidR="003126E4" w:rsidRPr="00951E3B">
              <w:rPr>
                <w:rFonts w:ascii="Arial" w:hAnsi="Arial" w:cs="Arial"/>
                <w:color w:val="000000" w:themeColor="text1"/>
                <w:szCs w:val="22"/>
              </w:rPr>
              <w:t>wydobycia węgla na jednego zatrudnionego (pełne zatrudnienie w jednostce produkcyjnej z uwzględnieniem alokacji pracowników administracji oraz outsourcingu) z podziałem na jednostki produkcyjne</w:t>
            </w:r>
            <w:r w:rsidR="00A84A77" w:rsidRPr="00951E3B">
              <w:rPr>
                <w:rFonts w:ascii="Arial" w:hAnsi="Arial" w:cs="Arial"/>
                <w:color w:val="000000" w:themeColor="text1"/>
                <w:szCs w:val="22"/>
              </w:rPr>
              <w:t>,</w:t>
            </w:r>
          </w:p>
          <w:p w14:paraId="53467550" w14:textId="5AB2B1FA" w:rsidR="003126E4" w:rsidRPr="00951E3B" w:rsidRDefault="003126E4" w:rsidP="0010248E">
            <w:pPr>
              <w:pStyle w:val="H6"/>
              <w:tabs>
                <w:tab w:val="clear" w:pos="3119"/>
                <w:tab w:val="left" w:pos="2300"/>
              </w:tabs>
              <w:ind w:left="2300"/>
              <w:rPr>
                <w:rFonts w:ascii="Arial" w:hAnsi="Arial" w:cs="Arial"/>
                <w:color w:val="000000" w:themeColor="text1"/>
                <w:szCs w:val="22"/>
              </w:rPr>
            </w:pPr>
            <w:r w:rsidRPr="00951E3B">
              <w:rPr>
                <w:rFonts w:ascii="Arial" w:hAnsi="Arial" w:cs="Arial"/>
                <w:color w:val="000000" w:themeColor="text1"/>
                <w:szCs w:val="22"/>
              </w:rPr>
              <w:t>zapotrzebowanie rynkowe na produkt danej</w:t>
            </w:r>
            <w:r w:rsidR="00B875A9" w:rsidRPr="00951E3B">
              <w:rPr>
                <w:rFonts w:ascii="Arial" w:hAnsi="Arial" w:cs="Arial"/>
                <w:color w:val="000000" w:themeColor="text1"/>
                <w:szCs w:val="22"/>
              </w:rPr>
              <w:t xml:space="preserve"> jednostki produkcyjnej</w:t>
            </w:r>
            <w:r w:rsidR="00CD6E6E" w:rsidRPr="00951E3B">
              <w:rPr>
                <w:rFonts w:ascii="Arial" w:hAnsi="Arial" w:cs="Arial"/>
                <w:color w:val="000000" w:themeColor="text1"/>
                <w:szCs w:val="22"/>
              </w:rPr>
              <w:t>,</w:t>
            </w:r>
          </w:p>
          <w:p w14:paraId="582162C2" w14:textId="252FBDA0" w:rsidR="003126E4" w:rsidRPr="00951E3B" w:rsidRDefault="008B1E84" w:rsidP="0010248E">
            <w:pPr>
              <w:pStyle w:val="H6"/>
              <w:tabs>
                <w:tab w:val="clear" w:pos="3119"/>
                <w:tab w:val="left" w:pos="2300"/>
              </w:tabs>
              <w:ind w:left="2300"/>
              <w:rPr>
                <w:rFonts w:ascii="Arial" w:hAnsi="Arial" w:cs="Arial"/>
                <w:color w:val="000000" w:themeColor="text1"/>
                <w:szCs w:val="22"/>
              </w:rPr>
            </w:pPr>
            <w:r w:rsidRPr="00951E3B">
              <w:rPr>
                <w:rFonts w:ascii="Arial" w:hAnsi="Arial" w:cs="Arial"/>
                <w:color w:val="000000" w:themeColor="text1"/>
                <w:szCs w:val="22"/>
              </w:rPr>
              <w:t xml:space="preserve">optymalizacja </w:t>
            </w:r>
            <w:r w:rsidR="003126E4" w:rsidRPr="00951E3B">
              <w:rPr>
                <w:rFonts w:ascii="Arial" w:hAnsi="Arial" w:cs="Arial"/>
                <w:color w:val="000000" w:themeColor="text1"/>
                <w:szCs w:val="22"/>
              </w:rPr>
              <w:t>poziomu nakładów inwestycyjnych, ograniczenie zakresu inwestycji do niezbędnego minimum</w:t>
            </w:r>
            <w:r w:rsidR="00A84A77" w:rsidRPr="00951E3B">
              <w:rPr>
                <w:rFonts w:ascii="Arial" w:hAnsi="Arial" w:cs="Arial"/>
                <w:color w:val="000000" w:themeColor="text1"/>
                <w:szCs w:val="22"/>
              </w:rPr>
              <w:t>,</w:t>
            </w:r>
          </w:p>
          <w:p w14:paraId="13D68292" w14:textId="338A7CAA" w:rsidR="003126E4" w:rsidRPr="00951E3B" w:rsidRDefault="008B1E84" w:rsidP="0010248E">
            <w:pPr>
              <w:pStyle w:val="H6"/>
              <w:tabs>
                <w:tab w:val="clear" w:pos="3119"/>
                <w:tab w:val="left" w:pos="2300"/>
              </w:tabs>
              <w:ind w:left="2300"/>
              <w:rPr>
                <w:rFonts w:ascii="Arial" w:hAnsi="Arial" w:cs="Arial"/>
                <w:color w:val="000000" w:themeColor="text1"/>
                <w:szCs w:val="22"/>
              </w:rPr>
            </w:pPr>
            <w:r w:rsidRPr="00951E3B">
              <w:rPr>
                <w:rFonts w:ascii="Arial" w:hAnsi="Arial" w:cs="Arial"/>
                <w:color w:val="000000" w:themeColor="text1"/>
                <w:szCs w:val="22"/>
              </w:rPr>
              <w:t xml:space="preserve">optymalizacja </w:t>
            </w:r>
            <w:r w:rsidR="003126E4" w:rsidRPr="00951E3B">
              <w:rPr>
                <w:rFonts w:ascii="Arial" w:hAnsi="Arial" w:cs="Arial"/>
                <w:color w:val="000000" w:themeColor="text1"/>
                <w:szCs w:val="22"/>
              </w:rPr>
              <w:t>jednostkowego gotówkowego kosztu produkcji węgla</w:t>
            </w:r>
            <w:r w:rsidR="00A84A77" w:rsidRPr="00951E3B">
              <w:rPr>
                <w:rFonts w:ascii="Arial" w:hAnsi="Arial" w:cs="Arial"/>
                <w:color w:val="000000" w:themeColor="text1"/>
                <w:szCs w:val="22"/>
              </w:rPr>
              <w:t>,</w:t>
            </w:r>
          </w:p>
          <w:p w14:paraId="275BE991" w14:textId="62025E3E" w:rsidR="003126E4" w:rsidRPr="00951E3B" w:rsidRDefault="003126E4" w:rsidP="0010248E">
            <w:pPr>
              <w:pStyle w:val="H6"/>
              <w:tabs>
                <w:tab w:val="clear" w:pos="3119"/>
                <w:tab w:val="left" w:pos="2300"/>
              </w:tabs>
              <w:ind w:left="2300"/>
              <w:rPr>
                <w:rFonts w:ascii="Arial" w:hAnsi="Arial" w:cs="Arial"/>
                <w:color w:val="000000" w:themeColor="text1"/>
                <w:szCs w:val="22"/>
              </w:rPr>
            </w:pPr>
            <w:r w:rsidRPr="00951E3B">
              <w:rPr>
                <w:rFonts w:ascii="Arial" w:hAnsi="Arial" w:cs="Arial"/>
                <w:color w:val="000000" w:themeColor="text1"/>
                <w:szCs w:val="22"/>
              </w:rPr>
              <w:t>maksymalizacja wyniku operacyjnego na sprzedaży węgla</w:t>
            </w:r>
            <w:r w:rsidR="00A84A77" w:rsidRPr="00951E3B">
              <w:rPr>
                <w:rFonts w:ascii="Arial" w:hAnsi="Arial" w:cs="Arial"/>
                <w:color w:val="000000" w:themeColor="text1"/>
                <w:szCs w:val="22"/>
              </w:rPr>
              <w:t>,</w:t>
            </w:r>
            <w:r w:rsidRPr="00951E3B">
              <w:rPr>
                <w:rFonts w:ascii="Arial" w:hAnsi="Arial" w:cs="Arial"/>
                <w:color w:val="000000" w:themeColor="text1"/>
                <w:szCs w:val="22"/>
              </w:rPr>
              <w:t xml:space="preserve"> </w:t>
            </w:r>
          </w:p>
          <w:p w14:paraId="0C1C20F1" w14:textId="148857E1" w:rsidR="003126E4" w:rsidRPr="00951E3B" w:rsidRDefault="003126E4" w:rsidP="0010248E">
            <w:pPr>
              <w:pStyle w:val="H6"/>
              <w:tabs>
                <w:tab w:val="clear" w:pos="3119"/>
                <w:tab w:val="left" w:pos="2300"/>
              </w:tabs>
              <w:ind w:left="2300"/>
              <w:rPr>
                <w:rFonts w:ascii="Arial" w:hAnsi="Arial" w:cs="Arial"/>
                <w:color w:val="000000" w:themeColor="text1"/>
                <w:szCs w:val="22"/>
              </w:rPr>
            </w:pPr>
            <w:r w:rsidRPr="00951E3B">
              <w:rPr>
                <w:rFonts w:ascii="Arial" w:hAnsi="Arial" w:cs="Arial"/>
                <w:color w:val="000000" w:themeColor="text1"/>
                <w:szCs w:val="22"/>
              </w:rPr>
              <w:t>maksymalizacja EBIDTA</w:t>
            </w:r>
            <w:r w:rsidR="00A84A77" w:rsidRPr="00951E3B">
              <w:rPr>
                <w:rFonts w:ascii="Arial" w:hAnsi="Arial" w:cs="Arial"/>
                <w:color w:val="000000" w:themeColor="text1"/>
                <w:szCs w:val="22"/>
              </w:rPr>
              <w:t>,</w:t>
            </w:r>
          </w:p>
          <w:p w14:paraId="01F2AA25" w14:textId="4D9FFE0C" w:rsidR="00E005D7" w:rsidRPr="00951E3B" w:rsidRDefault="008B1E84" w:rsidP="0010248E">
            <w:pPr>
              <w:pStyle w:val="H6"/>
              <w:tabs>
                <w:tab w:val="clear" w:pos="3119"/>
                <w:tab w:val="left" w:pos="2300"/>
              </w:tabs>
              <w:ind w:left="2300"/>
              <w:rPr>
                <w:rFonts w:ascii="Arial" w:hAnsi="Arial" w:cs="Arial"/>
                <w:color w:val="000000" w:themeColor="text1"/>
                <w:szCs w:val="22"/>
              </w:rPr>
            </w:pPr>
            <w:r w:rsidRPr="00951E3B">
              <w:rPr>
                <w:rFonts w:ascii="Arial" w:hAnsi="Arial" w:cs="Arial"/>
                <w:color w:val="000000" w:themeColor="text1"/>
                <w:szCs w:val="22"/>
              </w:rPr>
              <w:t xml:space="preserve">optymalizacja </w:t>
            </w:r>
            <w:r w:rsidR="00E005D7" w:rsidRPr="00951E3B">
              <w:rPr>
                <w:rFonts w:ascii="Arial" w:hAnsi="Arial" w:cs="Arial"/>
                <w:color w:val="000000" w:themeColor="text1"/>
                <w:szCs w:val="22"/>
              </w:rPr>
              <w:t>dopłat</w:t>
            </w:r>
            <w:r w:rsidR="00951939" w:rsidRPr="00951E3B">
              <w:rPr>
                <w:rFonts w:ascii="Arial" w:hAnsi="Arial" w:cs="Arial"/>
                <w:color w:val="000000" w:themeColor="text1"/>
                <w:szCs w:val="22"/>
              </w:rPr>
              <w:t xml:space="preserve"> do redukcji zdolności produkcyjnych</w:t>
            </w:r>
            <w:r w:rsidR="00A84A77" w:rsidRPr="00951E3B">
              <w:rPr>
                <w:rFonts w:ascii="Arial" w:hAnsi="Arial" w:cs="Arial"/>
                <w:color w:val="000000" w:themeColor="text1"/>
                <w:szCs w:val="22"/>
              </w:rPr>
              <w:t>.</w:t>
            </w:r>
          </w:p>
          <w:p w14:paraId="4C66C6BB" w14:textId="6879E5A7" w:rsidR="003E744C" w:rsidRPr="00951E3B" w:rsidRDefault="00951939" w:rsidP="0010248E">
            <w:pPr>
              <w:pStyle w:val="H5"/>
              <w:tabs>
                <w:tab w:val="clear" w:pos="2268"/>
                <w:tab w:val="left" w:pos="1450"/>
              </w:tabs>
              <w:ind w:left="1450" w:hanging="851"/>
              <w:rPr>
                <w:rFonts w:ascii="Arial" w:hAnsi="Arial" w:cs="Arial"/>
                <w:color w:val="000000" w:themeColor="text1"/>
                <w:szCs w:val="22"/>
              </w:rPr>
            </w:pPr>
            <w:r w:rsidRPr="00951E3B">
              <w:rPr>
                <w:rFonts w:ascii="Arial" w:hAnsi="Arial" w:cs="Arial"/>
                <w:color w:val="000000" w:themeColor="text1"/>
                <w:szCs w:val="22"/>
              </w:rPr>
              <w:t xml:space="preserve">Finalnie wypracowana </w:t>
            </w:r>
            <w:r w:rsidR="00A04842" w:rsidRPr="00951E3B">
              <w:rPr>
                <w:rFonts w:ascii="Arial" w:hAnsi="Arial" w:cs="Arial"/>
                <w:color w:val="000000" w:themeColor="text1"/>
                <w:szCs w:val="22"/>
              </w:rPr>
              <w:t>formuł</w:t>
            </w:r>
            <w:r w:rsidR="00070209" w:rsidRPr="00951E3B">
              <w:rPr>
                <w:rFonts w:ascii="Arial" w:hAnsi="Arial" w:cs="Arial"/>
                <w:color w:val="000000" w:themeColor="text1"/>
                <w:szCs w:val="22"/>
              </w:rPr>
              <w:t>a</w:t>
            </w:r>
            <w:r w:rsidR="00A04842" w:rsidRPr="00951E3B">
              <w:rPr>
                <w:rFonts w:ascii="Arial" w:hAnsi="Arial" w:cs="Arial"/>
                <w:color w:val="000000" w:themeColor="text1"/>
                <w:szCs w:val="22"/>
              </w:rPr>
              <w:t xml:space="preserve"> oceny </w:t>
            </w:r>
            <w:r w:rsidR="00B875A9" w:rsidRPr="00951E3B">
              <w:rPr>
                <w:rFonts w:ascii="Arial" w:hAnsi="Arial" w:cs="Arial"/>
                <w:color w:val="000000" w:themeColor="text1"/>
                <w:szCs w:val="22"/>
              </w:rPr>
              <w:t>jednostek produkcyjnych</w:t>
            </w:r>
            <w:r w:rsidRPr="00951E3B">
              <w:rPr>
                <w:rFonts w:ascii="Arial" w:hAnsi="Arial" w:cs="Arial"/>
                <w:color w:val="000000" w:themeColor="text1"/>
                <w:szCs w:val="22"/>
              </w:rPr>
              <w:t>, oprócz analizy wskaźnikowej, uwzględni</w:t>
            </w:r>
            <w:r w:rsidR="00B42788" w:rsidRPr="00951E3B">
              <w:rPr>
                <w:rFonts w:ascii="Arial" w:hAnsi="Arial" w:cs="Arial"/>
                <w:color w:val="000000" w:themeColor="text1"/>
                <w:szCs w:val="22"/>
              </w:rPr>
              <w:t>a</w:t>
            </w:r>
            <w:r w:rsidRPr="00951E3B">
              <w:rPr>
                <w:rFonts w:ascii="Arial" w:hAnsi="Arial" w:cs="Arial"/>
                <w:color w:val="000000" w:themeColor="text1"/>
                <w:szCs w:val="22"/>
              </w:rPr>
              <w:t xml:space="preserve"> również zapotrzebowanie wynikające z bezpieczeństwa energetycznego państwa oraz </w:t>
            </w:r>
            <w:r w:rsidR="00B42788" w:rsidRPr="00951E3B">
              <w:rPr>
                <w:rFonts w:ascii="Arial" w:hAnsi="Arial" w:cs="Arial"/>
                <w:color w:val="000000" w:themeColor="text1"/>
                <w:szCs w:val="22"/>
              </w:rPr>
              <w:t xml:space="preserve">bierze </w:t>
            </w:r>
            <w:r w:rsidRPr="00951E3B">
              <w:rPr>
                <w:rFonts w:ascii="Arial" w:hAnsi="Arial" w:cs="Arial"/>
                <w:color w:val="000000" w:themeColor="text1"/>
                <w:szCs w:val="22"/>
              </w:rPr>
              <w:t xml:space="preserve">pod uwagę czynnik społeczny (m.in. ograniczanie strukturalnego bezrobocia na danym obszarze, systemowej degradacji tkanki społecznej i pauperyzacji społeczeństwa </w:t>
            </w:r>
            <w:r w:rsidR="00587AE4" w:rsidRPr="00951E3B">
              <w:rPr>
                <w:rFonts w:ascii="Arial" w:hAnsi="Arial" w:cs="Arial"/>
                <w:color w:val="000000" w:themeColor="text1"/>
                <w:szCs w:val="22"/>
              </w:rPr>
              <w:t xml:space="preserve">itp., </w:t>
            </w:r>
            <w:r w:rsidR="005B129B" w:rsidRPr="00951E3B">
              <w:rPr>
                <w:rFonts w:ascii="Arial" w:hAnsi="Arial" w:cs="Arial"/>
                <w:color w:val="000000" w:themeColor="text1"/>
                <w:szCs w:val="22"/>
              </w:rPr>
              <w:t xml:space="preserve">na bazie </w:t>
            </w:r>
            <w:r w:rsidR="00587AE4" w:rsidRPr="00951E3B">
              <w:rPr>
                <w:rFonts w:ascii="Arial" w:hAnsi="Arial" w:cs="Arial"/>
                <w:color w:val="000000" w:themeColor="text1"/>
                <w:szCs w:val="22"/>
              </w:rPr>
              <w:t xml:space="preserve">niezależnych </w:t>
            </w:r>
            <w:r w:rsidR="005B129B" w:rsidRPr="00951E3B">
              <w:rPr>
                <w:rFonts w:ascii="Arial" w:hAnsi="Arial" w:cs="Arial"/>
                <w:color w:val="000000" w:themeColor="text1"/>
                <w:szCs w:val="22"/>
              </w:rPr>
              <w:t>analiz i raportów</w:t>
            </w:r>
            <w:r w:rsidRPr="00951E3B">
              <w:rPr>
                <w:rFonts w:ascii="Arial" w:hAnsi="Arial" w:cs="Arial"/>
                <w:color w:val="000000" w:themeColor="text1"/>
                <w:szCs w:val="22"/>
              </w:rPr>
              <w:t xml:space="preserve">). </w:t>
            </w:r>
          </w:p>
          <w:p w14:paraId="29312335" w14:textId="14658C8D" w:rsidR="00A04842" w:rsidRPr="00951E3B" w:rsidRDefault="00B42788" w:rsidP="00F676E6">
            <w:pPr>
              <w:pStyle w:val="H3"/>
              <w:rPr>
                <w:rFonts w:ascii="Arial" w:hAnsi="Arial" w:cs="Arial"/>
                <w:color w:val="000000" w:themeColor="text1"/>
                <w:szCs w:val="22"/>
              </w:rPr>
            </w:pPr>
            <w:r w:rsidRPr="00951E3B">
              <w:rPr>
                <w:rFonts w:ascii="Arial" w:hAnsi="Arial" w:cs="Arial"/>
                <w:color w:val="000000" w:themeColor="text1"/>
                <w:szCs w:val="22"/>
              </w:rPr>
              <w:t xml:space="preserve">Docelowy </w:t>
            </w:r>
            <w:r w:rsidR="008B1E84" w:rsidRPr="00951E3B">
              <w:rPr>
                <w:rFonts w:ascii="Arial" w:hAnsi="Arial" w:cs="Arial"/>
                <w:color w:val="000000" w:themeColor="text1"/>
                <w:szCs w:val="22"/>
              </w:rPr>
              <w:t xml:space="preserve">program </w:t>
            </w:r>
            <w:r w:rsidRPr="00951E3B">
              <w:rPr>
                <w:rFonts w:ascii="Arial" w:hAnsi="Arial" w:cs="Arial"/>
                <w:color w:val="000000" w:themeColor="text1"/>
                <w:szCs w:val="22"/>
              </w:rPr>
              <w:t xml:space="preserve">operacyjny </w:t>
            </w:r>
            <w:r w:rsidR="00A04842" w:rsidRPr="00951E3B">
              <w:rPr>
                <w:rFonts w:ascii="Arial" w:hAnsi="Arial" w:cs="Arial"/>
                <w:color w:val="000000" w:themeColor="text1"/>
                <w:szCs w:val="22"/>
              </w:rPr>
              <w:t>d</w:t>
            </w:r>
            <w:r w:rsidR="003126E4" w:rsidRPr="00951E3B">
              <w:rPr>
                <w:rFonts w:ascii="Arial" w:hAnsi="Arial" w:cs="Arial"/>
                <w:color w:val="000000" w:themeColor="text1"/>
                <w:szCs w:val="22"/>
              </w:rPr>
              <w:t>la każdej jednostki produkcyjnej węgla na okres do uzgodnionej daty jej zamknięcia</w:t>
            </w:r>
            <w:r w:rsidR="007F30AA" w:rsidRPr="00951E3B">
              <w:rPr>
                <w:rFonts w:ascii="Arial" w:hAnsi="Arial" w:cs="Arial"/>
                <w:color w:val="000000" w:themeColor="text1"/>
                <w:szCs w:val="22"/>
              </w:rPr>
              <w:t xml:space="preserve">, </w:t>
            </w:r>
            <w:r w:rsidR="00F676E6" w:rsidRPr="00951E3B">
              <w:rPr>
                <w:rFonts w:ascii="Arial" w:hAnsi="Arial" w:cs="Arial"/>
                <w:color w:val="000000" w:themeColor="text1"/>
                <w:szCs w:val="22"/>
              </w:rPr>
              <w:t>zawiera w szczególności</w:t>
            </w:r>
            <w:r w:rsidR="00A04842" w:rsidRPr="00951E3B">
              <w:rPr>
                <w:rFonts w:ascii="Arial" w:hAnsi="Arial" w:cs="Arial"/>
                <w:color w:val="000000" w:themeColor="text1"/>
                <w:szCs w:val="22"/>
              </w:rPr>
              <w:t>:</w:t>
            </w:r>
          </w:p>
          <w:p w14:paraId="58C38276" w14:textId="3000754B" w:rsidR="005B129B" w:rsidRPr="00951E3B" w:rsidRDefault="005B129B" w:rsidP="0010248E">
            <w:pPr>
              <w:pStyle w:val="H5"/>
              <w:tabs>
                <w:tab w:val="clear" w:pos="2268"/>
                <w:tab w:val="left" w:pos="1450"/>
              </w:tabs>
              <w:ind w:left="1450" w:hanging="851"/>
              <w:rPr>
                <w:rFonts w:ascii="Arial" w:hAnsi="Arial" w:cs="Arial"/>
                <w:color w:val="000000" w:themeColor="text1"/>
                <w:szCs w:val="22"/>
              </w:rPr>
            </w:pPr>
            <w:r w:rsidRPr="00951E3B">
              <w:rPr>
                <w:rFonts w:ascii="Arial" w:hAnsi="Arial" w:cs="Arial"/>
                <w:color w:val="000000" w:themeColor="text1"/>
                <w:szCs w:val="22"/>
              </w:rPr>
              <w:t xml:space="preserve">ustalenie stopniowego spadku wielkości produkcji </w:t>
            </w:r>
            <w:r w:rsidR="00472FF7" w:rsidRPr="00951E3B">
              <w:rPr>
                <w:rFonts w:ascii="Arial" w:hAnsi="Arial" w:cs="Arial"/>
                <w:color w:val="000000" w:themeColor="text1"/>
                <w:szCs w:val="22"/>
              </w:rPr>
              <w:t>i poziomu produkcji węgla kamiennego</w:t>
            </w:r>
            <w:r w:rsidRPr="00951E3B">
              <w:rPr>
                <w:rFonts w:ascii="Arial" w:hAnsi="Arial" w:cs="Arial"/>
                <w:color w:val="000000" w:themeColor="text1"/>
                <w:szCs w:val="22"/>
              </w:rPr>
              <w:t>,</w:t>
            </w:r>
          </w:p>
          <w:p w14:paraId="154FF1EA" w14:textId="448A6BBC" w:rsidR="006929E1" w:rsidRPr="00951E3B" w:rsidRDefault="006929E1" w:rsidP="0010248E">
            <w:pPr>
              <w:pStyle w:val="H5"/>
              <w:tabs>
                <w:tab w:val="clear" w:pos="2268"/>
                <w:tab w:val="left" w:pos="1450"/>
              </w:tabs>
              <w:ind w:left="1450" w:hanging="851"/>
              <w:rPr>
                <w:rFonts w:ascii="Arial" w:hAnsi="Arial" w:cs="Arial"/>
                <w:color w:val="000000" w:themeColor="text1"/>
                <w:szCs w:val="22"/>
              </w:rPr>
            </w:pPr>
            <w:r w:rsidRPr="00951E3B">
              <w:rPr>
                <w:rFonts w:ascii="Arial" w:hAnsi="Arial" w:cs="Arial"/>
                <w:color w:val="000000" w:themeColor="text1"/>
                <w:szCs w:val="22"/>
              </w:rPr>
              <w:t>zmiany w zatrudnieniu w danej jednostce produkcyjnej we wskazanym okresie czasu,</w:t>
            </w:r>
          </w:p>
          <w:p w14:paraId="6EB1A0DF" w14:textId="25A04D94" w:rsidR="00070209" w:rsidRPr="00951E3B" w:rsidRDefault="003126E4" w:rsidP="0010248E">
            <w:pPr>
              <w:pStyle w:val="H5"/>
              <w:tabs>
                <w:tab w:val="clear" w:pos="2268"/>
                <w:tab w:val="left" w:pos="1450"/>
              </w:tabs>
              <w:ind w:left="1450" w:hanging="851"/>
              <w:rPr>
                <w:rFonts w:ascii="Arial" w:hAnsi="Arial" w:cs="Arial"/>
                <w:color w:val="000000" w:themeColor="text1"/>
                <w:szCs w:val="22"/>
              </w:rPr>
            </w:pPr>
            <w:r w:rsidRPr="00951E3B">
              <w:rPr>
                <w:rFonts w:ascii="Arial" w:hAnsi="Arial" w:cs="Arial"/>
                <w:color w:val="000000" w:themeColor="text1"/>
                <w:szCs w:val="22"/>
              </w:rPr>
              <w:t xml:space="preserve">ustalenie określonego spadku wartości gotówkowych kosztów produkcji węgla do momentu zamknięcia, </w:t>
            </w:r>
            <w:r w:rsidR="00771535" w:rsidRPr="00951E3B">
              <w:rPr>
                <w:rFonts w:ascii="Arial" w:hAnsi="Arial" w:cs="Arial"/>
                <w:color w:val="000000" w:themeColor="text1"/>
                <w:szCs w:val="22"/>
              </w:rPr>
              <w:t xml:space="preserve">wyliczanie optymalnych przepływów pieniężnych </w:t>
            </w:r>
            <w:r w:rsidR="0036469F" w:rsidRPr="00951E3B">
              <w:rPr>
                <w:rFonts w:ascii="Arial" w:hAnsi="Arial" w:cs="Arial"/>
                <w:color w:val="000000" w:themeColor="text1"/>
                <w:szCs w:val="22"/>
              </w:rPr>
              <w:t>i zapotrzebowania gotówkowego dla każdej jednostki produkcyjnej,</w:t>
            </w:r>
          </w:p>
          <w:p w14:paraId="5476A4FB" w14:textId="276C2DC2" w:rsidR="00070209" w:rsidRPr="00951E3B" w:rsidRDefault="00070209" w:rsidP="0010248E">
            <w:pPr>
              <w:pStyle w:val="H5"/>
              <w:tabs>
                <w:tab w:val="clear" w:pos="2268"/>
                <w:tab w:val="left" w:pos="1450"/>
              </w:tabs>
              <w:ind w:left="1450" w:hanging="851"/>
              <w:rPr>
                <w:rFonts w:ascii="Arial" w:hAnsi="Arial" w:cs="Arial"/>
                <w:color w:val="000000" w:themeColor="text1"/>
                <w:szCs w:val="22"/>
              </w:rPr>
            </w:pPr>
            <w:r w:rsidRPr="00951E3B">
              <w:rPr>
                <w:rFonts w:ascii="Arial" w:hAnsi="Arial" w:cs="Arial"/>
                <w:color w:val="000000" w:themeColor="text1"/>
                <w:szCs w:val="22"/>
              </w:rPr>
              <w:t xml:space="preserve">ustalenie oczekiwanego dla danej </w:t>
            </w:r>
            <w:r w:rsidR="00B875A9" w:rsidRPr="00951E3B">
              <w:rPr>
                <w:rFonts w:ascii="Arial" w:hAnsi="Arial" w:cs="Arial"/>
                <w:color w:val="000000" w:themeColor="text1"/>
                <w:szCs w:val="22"/>
              </w:rPr>
              <w:t>jednostki produkcyjnej</w:t>
            </w:r>
            <w:r w:rsidR="00B875A9" w:rsidRPr="00951E3B" w:rsidDel="00B875A9">
              <w:rPr>
                <w:rFonts w:ascii="Arial" w:hAnsi="Arial" w:cs="Arial"/>
                <w:color w:val="000000" w:themeColor="text1"/>
                <w:szCs w:val="22"/>
              </w:rPr>
              <w:t xml:space="preserve"> </w:t>
            </w:r>
            <w:r w:rsidRPr="00951E3B">
              <w:rPr>
                <w:rFonts w:ascii="Arial" w:hAnsi="Arial" w:cs="Arial"/>
                <w:color w:val="000000" w:themeColor="text1"/>
                <w:szCs w:val="22"/>
              </w:rPr>
              <w:t xml:space="preserve">poziomu </w:t>
            </w:r>
            <w:r w:rsidR="005B129B" w:rsidRPr="00951E3B">
              <w:rPr>
                <w:rFonts w:ascii="Arial" w:hAnsi="Arial" w:cs="Arial"/>
                <w:color w:val="000000" w:themeColor="text1"/>
                <w:szCs w:val="22"/>
              </w:rPr>
              <w:t>Kluczowych Wskaźników Efektywności (</w:t>
            </w:r>
            <w:r w:rsidR="00587AE4" w:rsidRPr="00951E3B">
              <w:rPr>
                <w:rFonts w:ascii="Arial" w:hAnsi="Arial" w:cs="Arial"/>
                <w:color w:val="000000" w:themeColor="text1"/>
                <w:szCs w:val="22"/>
              </w:rPr>
              <w:t>„</w:t>
            </w:r>
            <w:r w:rsidR="005B129B" w:rsidRPr="00951E3B">
              <w:rPr>
                <w:rFonts w:ascii="Arial" w:hAnsi="Arial" w:cs="Arial"/>
                <w:b/>
                <w:bCs/>
                <w:color w:val="000000" w:themeColor="text1"/>
                <w:szCs w:val="22"/>
              </w:rPr>
              <w:t>KWE</w:t>
            </w:r>
            <w:r w:rsidR="00587AE4" w:rsidRPr="00951E3B">
              <w:rPr>
                <w:rFonts w:ascii="Arial" w:hAnsi="Arial" w:cs="Arial"/>
                <w:color w:val="000000" w:themeColor="text1"/>
                <w:szCs w:val="22"/>
              </w:rPr>
              <w:t>”</w:t>
            </w:r>
            <w:r w:rsidR="005B129B" w:rsidRPr="00951E3B">
              <w:rPr>
                <w:rFonts w:ascii="Arial" w:hAnsi="Arial" w:cs="Arial"/>
                <w:color w:val="000000" w:themeColor="text1"/>
                <w:szCs w:val="22"/>
              </w:rPr>
              <w:t>)</w:t>
            </w:r>
            <w:r w:rsidRPr="00951E3B">
              <w:rPr>
                <w:rFonts w:ascii="Arial" w:hAnsi="Arial" w:cs="Arial"/>
                <w:color w:val="000000" w:themeColor="text1"/>
                <w:szCs w:val="22"/>
              </w:rPr>
              <w:t>,</w:t>
            </w:r>
            <w:r w:rsidR="005B129B" w:rsidRPr="00951E3B">
              <w:rPr>
                <w:rFonts w:ascii="Arial" w:hAnsi="Arial" w:cs="Arial"/>
                <w:color w:val="000000" w:themeColor="text1"/>
                <w:szCs w:val="22"/>
              </w:rPr>
              <w:t xml:space="preserve"> ustalenie dopuszczalnego poziomu odchyleń od tych wskaźników</w:t>
            </w:r>
            <w:r w:rsidR="006929E1" w:rsidRPr="00951E3B">
              <w:rPr>
                <w:rFonts w:ascii="Arial" w:hAnsi="Arial" w:cs="Arial"/>
                <w:color w:val="000000" w:themeColor="text1"/>
                <w:szCs w:val="22"/>
              </w:rPr>
              <w:t xml:space="preserve"> (historyczne wyniki, analiza wrażliwości), </w:t>
            </w:r>
            <w:r w:rsidR="00587AE4" w:rsidRPr="00951E3B">
              <w:rPr>
                <w:rFonts w:ascii="Arial" w:hAnsi="Arial" w:cs="Arial"/>
                <w:color w:val="000000" w:themeColor="text1"/>
                <w:szCs w:val="22"/>
              </w:rPr>
              <w:t xml:space="preserve">przy czym </w:t>
            </w:r>
            <w:r w:rsidR="006929E1" w:rsidRPr="00951E3B">
              <w:rPr>
                <w:rFonts w:ascii="Arial" w:hAnsi="Arial" w:cs="Arial"/>
                <w:color w:val="000000" w:themeColor="text1"/>
                <w:szCs w:val="22"/>
              </w:rPr>
              <w:t xml:space="preserve">każda </w:t>
            </w:r>
            <w:r w:rsidR="00587AE4" w:rsidRPr="00951E3B">
              <w:rPr>
                <w:rFonts w:ascii="Arial" w:hAnsi="Arial" w:cs="Arial"/>
                <w:color w:val="000000" w:themeColor="text1"/>
                <w:szCs w:val="22"/>
              </w:rPr>
              <w:t xml:space="preserve">jednostka produkcyjna </w:t>
            </w:r>
            <w:r w:rsidR="006929E1" w:rsidRPr="00951E3B">
              <w:rPr>
                <w:rFonts w:ascii="Arial" w:hAnsi="Arial" w:cs="Arial"/>
                <w:color w:val="000000" w:themeColor="text1"/>
                <w:szCs w:val="22"/>
              </w:rPr>
              <w:t>może mieć nieco inne wskaźniki, dostosowane do jej specyfiki)</w:t>
            </w:r>
            <w:r w:rsidR="00587AE4" w:rsidRPr="00951E3B">
              <w:rPr>
                <w:rFonts w:ascii="Arial" w:hAnsi="Arial" w:cs="Arial"/>
                <w:color w:val="000000" w:themeColor="text1"/>
                <w:szCs w:val="22"/>
              </w:rPr>
              <w:t>,</w:t>
            </w:r>
            <w:r w:rsidR="0036469F" w:rsidRPr="00951E3B">
              <w:rPr>
                <w:rFonts w:ascii="Arial" w:hAnsi="Arial" w:cs="Arial"/>
                <w:color w:val="000000" w:themeColor="text1"/>
                <w:szCs w:val="22"/>
              </w:rPr>
              <w:t xml:space="preserve"> </w:t>
            </w:r>
          </w:p>
          <w:p w14:paraId="20EAD30A" w14:textId="5C156EDC" w:rsidR="00A84A77" w:rsidRPr="00951E3B" w:rsidRDefault="00070209" w:rsidP="0010248E">
            <w:pPr>
              <w:pStyle w:val="H5"/>
              <w:numPr>
                <w:ilvl w:val="4"/>
                <w:numId w:val="11"/>
              </w:numPr>
              <w:tabs>
                <w:tab w:val="clear" w:pos="2268"/>
                <w:tab w:val="left" w:pos="1450"/>
              </w:tabs>
              <w:ind w:left="1450" w:hanging="851"/>
              <w:rPr>
                <w:rFonts w:ascii="Arial" w:hAnsi="Arial" w:cs="Arial"/>
                <w:color w:val="000000" w:themeColor="text1"/>
                <w:szCs w:val="22"/>
              </w:rPr>
            </w:pPr>
            <w:r w:rsidRPr="00951E3B">
              <w:rPr>
                <w:rFonts w:ascii="Arial" w:hAnsi="Arial" w:cs="Arial"/>
                <w:color w:val="000000" w:themeColor="text1"/>
                <w:szCs w:val="22"/>
              </w:rPr>
              <w:lastRenderedPageBreak/>
              <w:t xml:space="preserve">ustalenie </w:t>
            </w:r>
            <w:r w:rsidR="003126E4" w:rsidRPr="00951E3B">
              <w:rPr>
                <w:rFonts w:ascii="Arial" w:hAnsi="Arial" w:cs="Arial"/>
                <w:color w:val="000000" w:themeColor="text1"/>
                <w:szCs w:val="22"/>
              </w:rPr>
              <w:t>maksymalnej wysokości dopłaty na redukcję zdolności produkcyjnych</w:t>
            </w:r>
            <w:r w:rsidR="00587AE4" w:rsidRPr="00951E3B">
              <w:rPr>
                <w:rFonts w:ascii="Arial" w:hAnsi="Arial" w:cs="Arial"/>
                <w:color w:val="000000" w:themeColor="text1"/>
                <w:szCs w:val="22"/>
              </w:rPr>
              <w:t>.</w:t>
            </w:r>
          </w:p>
          <w:p w14:paraId="509F06CD" w14:textId="19B5B7D6" w:rsidR="0057147A" w:rsidRPr="00951E3B" w:rsidRDefault="0057147A" w:rsidP="00070209">
            <w:pPr>
              <w:pStyle w:val="H2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951E3B">
              <w:rPr>
                <w:rFonts w:ascii="Arial" w:hAnsi="Arial" w:cs="Arial"/>
                <w:b/>
                <w:color w:val="000000" w:themeColor="text1"/>
                <w:szCs w:val="22"/>
              </w:rPr>
              <w:t>Etap II</w:t>
            </w:r>
            <w:r w:rsidR="00F676E6" w:rsidRPr="00951E3B"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 wdrożenia systemu</w:t>
            </w:r>
            <w:r w:rsidR="00587AE4" w:rsidRPr="00951E3B"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 – podstawowe zasady</w:t>
            </w:r>
            <w:r w:rsidRPr="00951E3B"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: </w:t>
            </w:r>
          </w:p>
          <w:p w14:paraId="1B740A4F" w14:textId="77777777" w:rsidR="006929E1" w:rsidRPr="00951E3B" w:rsidRDefault="0057147A" w:rsidP="00F676E6">
            <w:pPr>
              <w:pStyle w:val="H3"/>
              <w:rPr>
                <w:rFonts w:ascii="Arial" w:hAnsi="Arial" w:cs="Arial"/>
                <w:color w:val="000000" w:themeColor="text1"/>
                <w:szCs w:val="22"/>
              </w:rPr>
            </w:pPr>
            <w:r w:rsidRPr="00951E3B">
              <w:rPr>
                <w:rFonts w:ascii="Arial" w:hAnsi="Arial" w:cs="Arial"/>
                <w:color w:val="000000" w:themeColor="text1"/>
                <w:szCs w:val="22"/>
              </w:rPr>
              <w:t>Na bazie działań z E</w:t>
            </w:r>
            <w:r w:rsidR="00F676E6" w:rsidRPr="00951E3B">
              <w:rPr>
                <w:rFonts w:ascii="Arial" w:hAnsi="Arial" w:cs="Arial"/>
                <w:color w:val="000000" w:themeColor="text1"/>
                <w:szCs w:val="22"/>
              </w:rPr>
              <w:t>tapu</w:t>
            </w:r>
            <w:r w:rsidRPr="00951E3B">
              <w:rPr>
                <w:rFonts w:ascii="Arial" w:hAnsi="Arial" w:cs="Arial"/>
                <w:color w:val="000000" w:themeColor="text1"/>
                <w:szCs w:val="22"/>
              </w:rPr>
              <w:t xml:space="preserve"> I</w:t>
            </w:r>
            <w:r w:rsidR="006929E1" w:rsidRPr="00951E3B">
              <w:rPr>
                <w:rFonts w:ascii="Arial" w:hAnsi="Arial" w:cs="Arial"/>
                <w:color w:val="000000" w:themeColor="text1"/>
                <w:szCs w:val="22"/>
              </w:rPr>
              <w:t>:</w:t>
            </w:r>
            <w:r w:rsidRPr="00951E3B">
              <w:rPr>
                <w:rFonts w:ascii="Arial" w:hAnsi="Arial" w:cs="Arial"/>
                <w:color w:val="000000" w:themeColor="text1"/>
                <w:szCs w:val="22"/>
              </w:rPr>
              <w:t xml:space="preserve"> </w:t>
            </w:r>
          </w:p>
          <w:p w14:paraId="38D46030" w14:textId="5FEF93FD" w:rsidR="006929E1" w:rsidRPr="00951E3B" w:rsidRDefault="0057147A" w:rsidP="0010248E">
            <w:pPr>
              <w:pStyle w:val="H5"/>
              <w:tabs>
                <w:tab w:val="clear" w:pos="2268"/>
                <w:tab w:val="left" w:pos="1450"/>
              </w:tabs>
              <w:ind w:left="1450" w:hanging="851"/>
              <w:rPr>
                <w:rFonts w:ascii="Arial" w:hAnsi="Arial" w:cs="Arial"/>
                <w:color w:val="000000" w:themeColor="text1"/>
                <w:szCs w:val="22"/>
              </w:rPr>
            </w:pPr>
            <w:r w:rsidRPr="00951E3B">
              <w:rPr>
                <w:rFonts w:ascii="Arial" w:hAnsi="Arial" w:cs="Arial"/>
                <w:color w:val="000000" w:themeColor="text1"/>
                <w:szCs w:val="22"/>
              </w:rPr>
              <w:t xml:space="preserve">część działających jednostek </w:t>
            </w:r>
            <w:r w:rsidR="00B875A9" w:rsidRPr="00951E3B">
              <w:rPr>
                <w:rFonts w:ascii="Arial" w:hAnsi="Arial" w:cs="Arial"/>
                <w:color w:val="000000" w:themeColor="text1"/>
                <w:szCs w:val="22"/>
              </w:rPr>
              <w:t>produkcyjnych</w:t>
            </w:r>
            <w:r w:rsidR="00B875A9" w:rsidRPr="00951E3B" w:rsidDel="00B875A9">
              <w:rPr>
                <w:rFonts w:ascii="Arial" w:hAnsi="Arial" w:cs="Arial"/>
                <w:color w:val="000000" w:themeColor="text1"/>
                <w:szCs w:val="22"/>
              </w:rPr>
              <w:t xml:space="preserve"> </w:t>
            </w:r>
            <w:r w:rsidR="003309B9" w:rsidRPr="00951E3B">
              <w:rPr>
                <w:rFonts w:ascii="Arial" w:hAnsi="Arial" w:cs="Arial"/>
                <w:color w:val="000000" w:themeColor="text1"/>
                <w:szCs w:val="22"/>
              </w:rPr>
              <w:t>została wyznaczona</w:t>
            </w:r>
            <w:r w:rsidRPr="00951E3B">
              <w:rPr>
                <w:rFonts w:ascii="Arial" w:hAnsi="Arial" w:cs="Arial"/>
                <w:color w:val="000000" w:themeColor="text1"/>
                <w:szCs w:val="22"/>
              </w:rPr>
              <w:t xml:space="preserve"> do likwidacji w najbliższym okresie i objęta pomocą na pokrywanie kosztów nadzwyczajnych</w:t>
            </w:r>
            <w:r w:rsidR="006929E1" w:rsidRPr="00951E3B">
              <w:rPr>
                <w:rFonts w:ascii="Arial" w:hAnsi="Arial" w:cs="Arial"/>
                <w:color w:val="000000" w:themeColor="text1"/>
                <w:szCs w:val="22"/>
              </w:rPr>
              <w:t>,</w:t>
            </w:r>
            <w:r w:rsidRPr="00951E3B">
              <w:rPr>
                <w:rFonts w:ascii="Arial" w:hAnsi="Arial" w:cs="Arial"/>
                <w:color w:val="000000" w:themeColor="text1"/>
                <w:szCs w:val="22"/>
              </w:rPr>
              <w:t xml:space="preserve"> </w:t>
            </w:r>
          </w:p>
          <w:p w14:paraId="0515FA44" w14:textId="43E60C58" w:rsidR="00F676E6" w:rsidRPr="00951E3B" w:rsidRDefault="006929E1" w:rsidP="0010248E">
            <w:pPr>
              <w:pStyle w:val="H5"/>
              <w:tabs>
                <w:tab w:val="clear" w:pos="2268"/>
                <w:tab w:val="left" w:pos="1450"/>
              </w:tabs>
              <w:ind w:left="1450" w:hanging="851"/>
              <w:rPr>
                <w:rFonts w:ascii="Arial" w:hAnsi="Arial" w:cs="Arial"/>
                <w:color w:val="000000" w:themeColor="text1"/>
                <w:szCs w:val="22"/>
              </w:rPr>
            </w:pPr>
            <w:r w:rsidRPr="00951E3B">
              <w:rPr>
                <w:rFonts w:ascii="Arial" w:hAnsi="Arial" w:cs="Arial"/>
                <w:color w:val="000000" w:themeColor="text1"/>
                <w:szCs w:val="22"/>
              </w:rPr>
              <w:t>p</w:t>
            </w:r>
            <w:r w:rsidR="0057147A" w:rsidRPr="00951E3B">
              <w:rPr>
                <w:rFonts w:ascii="Arial" w:hAnsi="Arial" w:cs="Arial"/>
                <w:color w:val="000000" w:themeColor="text1"/>
                <w:szCs w:val="22"/>
              </w:rPr>
              <w:t>ozostałe jednostki</w:t>
            </w:r>
            <w:r w:rsidR="00B875A9" w:rsidRPr="00951E3B">
              <w:rPr>
                <w:rFonts w:ascii="Arial" w:hAnsi="Arial" w:cs="Arial"/>
                <w:color w:val="000000" w:themeColor="text1"/>
                <w:szCs w:val="22"/>
              </w:rPr>
              <w:t xml:space="preserve"> produkcyjne</w:t>
            </w:r>
            <w:r w:rsidRPr="00951E3B">
              <w:rPr>
                <w:rFonts w:ascii="Arial" w:hAnsi="Arial" w:cs="Arial"/>
                <w:color w:val="000000" w:themeColor="text1"/>
                <w:szCs w:val="22"/>
              </w:rPr>
              <w:t>,</w:t>
            </w:r>
            <w:r w:rsidR="00F676E6" w:rsidRPr="00951E3B">
              <w:rPr>
                <w:rFonts w:ascii="Arial" w:hAnsi="Arial" w:cs="Arial"/>
                <w:color w:val="000000" w:themeColor="text1"/>
                <w:szCs w:val="22"/>
              </w:rPr>
              <w:t xml:space="preserve"> </w:t>
            </w:r>
            <w:r w:rsidR="0057147A" w:rsidRPr="00951E3B">
              <w:rPr>
                <w:rFonts w:ascii="Arial" w:hAnsi="Arial" w:cs="Arial"/>
                <w:color w:val="000000" w:themeColor="text1"/>
                <w:szCs w:val="22"/>
              </w:rPr>
              <w:t>z uwzględnieniem ich programów operacyjnych, będą objęte system</w:t>
            </w:r>
            <w:r w:rsidR="00EF19C4" w:rsidRPr="00951E3B">
              <w:rPr>
                <w:rFonts w:ascii="Arial" w:hAnsi="Arial" w:cs="Arial"/>
                <w:color w:val="000000" w:themeColor="text1"/>
                <w:szCs w:val="22"/>
              </w:rPr>
              <w:t>em</w:t>
            </w:r>
            <w:r w:rsidR="0057147A" w:rsidRPr="00951E3B">
              <w:rPr>
                <w:rFonts w:ascii="Arial" w:hAnsi="Arial" w:cs="Arial"/>
                <w:color w:val="000000" w:themeColor="text1"/>
                <w:szCs w:val="22"/>
              </w:rPr>
              <w:t xml:space="preserve"> </w:t>
            </w:r>
            <w:r w:rsidR="00F676E6" w:rsidRPr="00951E3B">
              <w:rPr>
                <w:rFonts w:ascii="Arial" w:hAnsi="Arial" w:cs="Arial"/>
                <w:color w:val="000000" w:themeColor="text1"/>
                <w:szCs w:val="22"/>
              </w:rPr>
              <w:t xml:space="preserve">dopłat do redukcji zdolności produkcyjnych </w:t>
            </w:r>
            <w:r w:rsidR="0057147A" w:rsidRPr="00951E3B">
              <w:rPr>
                <w:rFonts w:ascii="Arial" w:hAnsi="Arial" w:cs="Arial"/>
                <w:color w:val="000000" w:themeColor="text1"/>
                <w:szCs w:val="22"/>
              </w:rPr>
              <w:t xml:space="preserve">do czasu ich zamknięcia i </w:t>
            </w:r>
            <w:r w:rsidR="00F676E6" w:rsidRPr="00951E3B">
              <w:rPr>
                <w:rFonts w:ascii="Arial" w:hAnsi="Arial" w:cs="Arial"/>
                <w:color w:val="000000" w:themeColor="text1"/>
                <w:szCs w:val="22"/>
              </w:rPr>
              <w:t>rozpoczęcia</w:t>
            </w:r>
            <w:r w:rsidR="0057147A" w:rsidRPr="00951E3B">
              <w:rPr>
                <w:rFonts w:ascii="Arial" w:hAnsi="Arial" w:cs="Arial"/>
                <w:color w:val="000000" w:themeColor="text1"/>
                <w:szCs w:val="22"/>
              </w:rPr>
              <w:t xml:space="preserve"> likwidacji</w:t>
            </w:r>
            <w:r w:rsidR="00F676E6" w:rsidRPr="00951E3B">
              <w:rPr>
                <w:rFonts w:ascii="Arial" w:hAnsi="Arial" w:cs="Arial"/>
                <w:color w:val="000000" w:themeColor="text1"/>
                <w:szCs w:val="22"/>
              </w:rPr>
              <w:t>.</w:t>
            </w:r>
            <w:r w:rsidR="0057147A" w:rsidRPr="00951E3B">
              <w:rPr>
                <w:rFonts w:ascii="Arial" w:hAnsi="Arial" w:cs="Arial"/>
                <w:color w:val="000000" w:themeColor="text1"/>
                <w:szCs w:val="22"/>
              </w:rPr>
              <w:t xml:space="preserve"> </w:t>
            </w:r>
          </w:p>
          <w:p w14:paraId="152370D2" w14:textId="06D01EC3" w:rsidR="00F676E6" w:rsidRPr="00951E3B" w:rsidRDefault="0057147A" w:rsidP="00F676E6">
            <w:pPr>
              <w:pStyle w:val="H3"/>
              <w:rPr>
                <w:rFonts w:ascii="Arial" w:hAnsi="Arial" w:cs="Arial"/>
                <w:color w:val="000000" w:themeColor="text1"/>
                <w:szCs w:val="22"/>
              </w:rPr>
            </w:pPr>
            <w:r w:rsidRPr="00951E3B">
              <w:rPr>
                <w:rFonts w:ascii="Arial" w:hAnsi="Arial" w:cs="Arial"/>
                <w:color w:val="000000" w:themeColor="text1"/>
                <w:szCs w:val="22"/>
              </w:rPr>
              <w:t>Dopłata do redukcji zdolności produkcyjnych będzie</w:t>
            </w:r>
            <w:r w:rsidR="00F35FF4" w:rsidRPr="00951E3B">
              <w:rPr>
                <w:rFonts w:ascii="Arial" w:hAnsi="Arial" w:cs="Arial"/>
                <w:color w:val="000000" w:themeColor="text1"/>
                <w:szCs w:val="22"/>
              </w:rPr>
              <w:t xml:space="preserve"> obliczana w oparciu o </w:t>
            </w:r>
            <w:r w:rsidRPr="00951E3B">
              <w:rPr>
                <w:rFonts w:ascii="Arial" w:hAnsi="Arial" w:cs="Arial"/>
                <w:color w:val="000000" w:themeColor="text1"/>
                <w:szCs w:val="22"/>
              </w:rPr>
              <w:t>różnic</w:t>
            </w:r>
            <w:r w:rsidR="00F35FF4" w:rsidRPr="00951E3B">
              <w:rPr>
                <w:rFonts w:ascii="Arial" w:hAnsi="Arial" w:cs="Arial"/>
                <w:color w:val="000000" w:themeColor="text1"/>
                <w:szCs w:val="22"/>
              </w:rPr>
              <w:t>ę</w:t>
            </w:r>
            <w:r w:rsidRPr="00951E3B">
              <w:rPr>
                <w:rFonts w:ascii="Arial" w:hAnsi="Arial" w:cs="Arial"/>
                <w:color w:val="000000" w:themeColor="text1"/>
                <w:szCs w:val="22"/>
              </w:rPr>
              <w:t xml:space="preserve"> </w:t>
            </w:r>
            <w:r w:rsidR="00587AE4" w:rsidRPr="00951E3B">
              <w:rPr>
                <w:rFonts w:ascii="Arial" w:hAnsi="Arial" w:cs="Arial"/>
                <w:color w:val="000000" w:themeColor="text1"/>
                <w:szCs w:val="22"/>
              </w:rPr>
              <w:t xml:space="preserve">pomiędzy: (i) </w:t>
            </w:r>
            <w:r w:rsidRPr="00951E3B">
              <w:rPr>
                <w:rFonts w:ascii="Arial" w:hAnsi="Arial" w:cs="Arial"/>
                <w:color w:val="000000" w:themeColor="text1"/>
                <w:szCs w:val="22"/>
              </w:rPr>
              <w:t>koszt</w:t>
            </w:r>
            <w:r w:rsidR="00587AE4" w:rsidRPr="00951E3B">
              <w:rPr>
                <w:rFonts w:ascii="Arial" w:hAnsi="Arial" w:cs="Arial"/>
                <w:color w:val="000000" w:themeColor="text1"/>
                <w:szCs w:val="22"/>
              </w:rPr>
              <w:t>ami</w:t>
            </w:r>
            <w:r w:rsidRPr="00951E3B">
              <w:rPr>
                <w:rFonts w:ascii="Arial" w:hAnsi="Arial" w:cs="Arial"/>
                <w:color w:val="000000" w:themeColor="text1"/>
                <w:szCs w:val="22"/>
              </w:rPr>
              <w:t xml:space="preserve"> </w:t>
            </w:r>
            <w:r w:rsidR="006929E1" w:rsidRPr="00951E3B">
              <w:rPr>
                <w:rFonts w:ascii="Arial" w:hAnsi="Arial" w:cs="Arial"/>
                <w:color w:val="000000" w:themeColor="text1"/>
                <w:szCs w:val="22"/>
              </w:rPr>
              <w:t>kwalifikowany</w:t>
            </w:r>
            <w:r w:rsidR="00587AE4" w:rsidRPr="00951E3B">
              <w:rPr>
                <w:rFonts w:ascii="Arial" w:hAnsi="Arial" w:cs="Arial"/>
                <w:color w:val="000000" w:themeColor="text1"/>
                <w:szCs w:val="22"/>
              </w:rPr>
              <w:t>mi</w:t>
            </w:r>
            <w:r w:rsidR="006929E1" w:rsidRPr="00951E3B">
              <w:rPr>
                <w:rFonts w:ascii="Arial" w:hAnsi="Arial" w:cs="Arial"/>
                <w:color w:val="000000" w:themeColor="text1"/>
                <w:szCs w:val="22"/>
              </w:rPr>
              <w:t xml:space="preserve"> </w:t>
            </w:r>
            <w:r w:rsidRPr="00951E3B">
              <w:rPr>
                <w:rFonts w:ascii="Arial" w:hAnsi="Arial" w:cs="Arial"/>
                <w:color w:val="000000" w:themeColor="text1"/>
                <w:szCs w:val="22"/>
              </w:rPr>
              <w:t>produkcji węgla</w:t>
            </w:r>
            <w:r w:rsidR="00F35FF4" w:rsidRPr="00951E3B">
              <w:rPr>
                <w:rFonts w:ascii="Arial" w:hAnsi="Arial" w:cs="Arial"/>
                <w:color w:val="000000" w:themeColor="text1"/>
                <w:szCs w:val="22"/>
              </w:rPr>
              <w:t xml:space="preserve"> </w:t>
            </w:r>
            <w:r w:rsidR="00587AE4" w:rsidRPr="00951E3B">
              <w:rPr>
                <w:rFonts w:ascii="Arial" w:hAnsi="Arial" w:cs="Arial"/>
                <w:color w:val="000000" w:themeColor="text1"/>
                <w:szCs w:val="22"/>
              </w:rPr>
              <w:t xml:space="preserve">a (ii) </w:t>
            </w:r>
            <w:r w:rsidR="00472FF7" w:rsidRPr="00951E3B">
              <w:rPr>
                <w:rFonts w:ascii="Arial" w:hAnsi="Arial" w:cs="Arial"/>
                <w:color w:val="000000" w:themeColor="text1"/>
                <w:szCs w:val="22"/>
              </w:rPr>
              <w:t>wyliczon</w:t>
            </w:r>
            <w:r w:rsidR="00587AE4" w:rsidRPr="00951E3B">
              <w:rPr>
                <w:rFonts w:ascii="Arial" w:hAnsi="Arial" w:cs="Arial"/>
                <w:color w:val="000000" w:themeColor="text1"/>
                <w:szCs w:val="22"/>
              </w:rPr>
              <w:t>ymi</w:t>
            </w:r>
            <w:r w:rsidR="00472FF7" w:rsidRPr="00951E3B">
              <w:rPr>
                <w:rFonts w:ascii="Arial" w:hAnsi="Arial" w:cs="Arial"/>
                <w:color w:val="000000" w:themeColor="text1"/>
                <w:szCs w:val="22"/>
              </w:rPr>
              <w:t xml:space="preserve"> zgodnie z zasadami systemu wsparcia przychod</w:t>
            </w:r>
            <w:r w:rsidR="00587AE4" w:rsidRPr="00951E3B">
              <w:rPr>
                <w:rFonts w:ascii="Arial" w:hAnsi="Arial" w:cs="Arial"/>
                <w:color w:val="000000" w:themeColor="text1"/>
                <w:szCs w:val="22"/>
              </w:rPr>
              <w:t>ami</w:t>
            </w:r>
            <w:r w:rsidR="00472FF7" w:rsidRPr="00951E3B">
              <w:rPr>
                <w:rFonts w:ascii="Arial" w:hAnsi="Arial" w:cs="Arial"/>
                <w:color w:val="000000" w:themeColor="text1"/>
                <w:szCs w:val="22"/>
              </w:rPr>
              <w:t xml:space="preserve"> </w:t>
            </w:r>
            <w:r w:rsidRPr="00951E3B">
              <w:rPr>
                <w:rFonts w:ascii="Arial" w:hAnsi="Arial" w:cs="Arial"/>
                <w:color w:val="000000" w:themeColor="text1"/>
                <w:szCs w:val="22"/>
              </w:rPr>
              <w:t>ze sprzedaży</w:t>
            </w:r>
            <w:r w:rsidR="00587AE4" w:rsidRPr="00951E3B">
              <w:rPr>
                <w:rFonts w:ascii="Arial" w:hAnsi="Arial" w:cs="Arial"/>
                <w:color w:val="000000" w:themeColor="text1"/>
                <w:szCs w:val="22"/>
              </w:rPr>
              <w:t xml:space="preserve"> węgla</w:t>
            </w:r>
            <w:r w:rsidR="00472FF7" w:rsidRPr="00951E3B">
              <w:rPr>
                <w:rFonts w:ascii="Arial" w:hAnsi="Arial" w:cs="Arial"/>
                <w:color w:val="000000" w:themeColor="text1"/>
                <w:szCs w:val="22"/>
              </w:rPr>
              <w:t>, zgodnie z zasadami rachunkowości.</w:t>
            </w:r>
          </w:p>
          <w:p w14:paraId="34E0B8DE" w14:textId="565D8FF4" w:rsidR="00091161" w:rsidRPr="00951E3B" w:rsidRDefault="00F676E6" w:rsidP="00F676E6">
            <w:pPr>
              <w:pStyle w:val="H3"/>
              <w:rPr>
                <w:rFonts w:ascii="Arial" w:hAnsi="Arial" w:cs="Arial"/>
                <w:color w:val="000000" w:themeColor="text1"/>
                <w:szCs w:val="22"/>
              </w:rPr>
            </w:pPr>
            <w:r w:rsidRPr="00951E3B">
              <w:rPr>
                <w:rFonts w:ascii="Arial" w:eastAsiaTheme="minorEastAsia" w:hAnsi="Arial" w:cs="Arial"/>
                <w:color w:val="000000" w:themeColor="text1"/>
                <w:szCs w:val="22"/>
              </w:rPr>
              <w:t>Koszty</w:t>
            </w:r>
            <w:r w:rsidR="00472FF7" w:rsidRPr="00951E3B">
              <w:rPr>
                <w:rFonts w:ascii="Arial" w:eastAsiaTheme="minorEastAsia" w:hAnsi="Arial" w:cs="Arial"/>
                <w:color w:val="000000" w:themeColor="text1"/>
                <w:szCs w:val="22"/>
              </w:rPr>
              <w:t xml:space="preserve"> kwalifikowane</w:t>
            </w:r>
            <w:r w:rsidRPr="00951E3B">
              <w:rPr>
                <w:rFonts w:ascii="Arial" w:eastAsiaTheme="minorEastAsia" w:hAnsi="Arial" w:cs="Arial"/>
                <w:color w:val="000000" w:themeColor="text1"/>
                <w:szCs w:val="22"/>
              </w:rPr>
              <w:t xml:space="preserve"> brane pod uwagę przy wyliczaniu dopłaty do redukcji zdolności kosztów produkcyjnych</w:t>
            </w:r>
            <w:r w:rsidR="00091161" w:rsidRPr="00951E3B">
              <w:rPr>
                <w:rFonts w:ascii="Arial" w:eastAsiaTheme="minorEastAsia" w:hAnsi="Arial" w:cs="Arial"/>
                <w:color w:val="000000" w:themeColor="text1"/>
                <w:szCs w:val="22"/>
              </w:rPr>
              <w:t>:</w:t>
            </w:r>
          </w:p>
          <w:p w14:paraId="0AD454A4" w14:textId="208C7E21" w:rsidR="00472FF7" w:rsidRPr="00951E3B" w:rsidRDefault="00F676E6" w:rsidP="0010248E">
            <w:pPr>
              <w:pStyle w:val="H5"/>
              <w:ind w:left="2268" w:hanging="1669"/>
              <w:rPr>
                <w:rFonts w:ascii="Arial" w:hAnsi="Arial" w:cs="Arial"/>
                <w:color w:val="000000" w:themeColor="text1"/>
                <w:szCs w:val="22"/>
              </w:rPr>
            </w:pPr>
            <w:r w:rsidRPr="00951E3B">
              <w:rPr>
                <w:rFonts w:ascii="Arial" w:eastAsiaTheme="minorEastAsia" w:hAnsi="Arial" w:cs="Arial"/>
                <w:color w:val="000000" w:themeColor="text1"/>
                <w:szCs w:val="22"/>
              </w:rPr>
              <w:t>gotówkowe koszty produkcji węgla (z wyłączeniem między innymi kosztów amortyzacji, zawiązywania rezerw etc.)</w:t>
            </w:r>
            <w:r w:rsidR="00472FF7" w:rsidRPr="00951E3B">
              <w:rPr>
                <w:rFonts w:ascii="Arial" w:eastAsiaTheme="minorEastAsia" w:hAnsi="Arial" w:cs="Arial"/>
                <w:color w:val="000000" w:themeColor="text1"/>
                <w:szCs w:val="22"/>
              </w:rPr>
              <w:t>, w tym:</w:t>
            </w:r>
          </w:p>
          <w:p w14:paraId="73986B6B" w14:textId="4F2FAB0C" w:rsidR="00472FF7" w:rsidRPr="00951E3B" w:rsidRDefault="00472FF7" w:rsidP="0010248E">
            <w:pPr>
              <w:pStyle w:val="H6"/>
              <w:tabs>
                <w:tab w:val="clear" w:pos="2268"/>
                <w:tab w:val="clear" w:pos="3119"/>
                <w:tab w:val="left" w:pos="2017"/>
                <w:tab w:val="left" w:pos="2158"/>
              </w:tabs>
              <w:ind w:left="2017" w:hanging="534"/>
              <w:rPr>
                <w:rFonts w:ascii="Arial" w:hAnsi="Arial" w:cs="Arial"/>
                <w:color w:val="000000" w:themeColor="text1"/>
                <w:szCs w:val="22"/>
              </w:rPr>
            </w:pPr>
            <w:r w:rsidRPr="00951E3B">
              <w:rPr>
                <w:rFonts w:ascii="Arial" w:eastAsiaTheme="minorEastAsia" w:hAnsi="Arial" w:cs="Arial"/>
                <w:color w:val="000000" w:themeColor="text1"/>
                <w:szCs w:val="22"/>
              </w:rPr>
              <w:t>z</w:t>
            </w:r>
            <w:r w:rsidR="00396068" w:rsidRPr="00951E3B">
              <w:rPr>
                <w:rFonts w:ascii="Arial" w:eastAsiaTheme="minorEastAsia" w:hAnsi="Arial" w:cs="Arial"/>
                <w:color w:val="000000" w:themeColor="text1"/>
                <w:szCs w:val="22"/>
              </w:rPr>
              <w:t>użycie materiałów i energii</w:t>
            </w:r>
            <w:r w:rsidR="00FB27F2" w:rsidRPr="00951E3B">
              <w:rPr>
                <w:rFonts w:ascii="Arial" w:eastAsiaTheme="minorEastAsia" w:hAnsi="Arial" w:cs="Arial"/>
                <w:color w:val="000000" w:themeColor="text1"/>
                <w:szCs w:val="22"/>
              </w:rPr>
              <w:t xml:space="preserve"> (</w:t>
            </w:r>
            <w:r w:rsidRPr="00951E3B">
              <w:rPr>
                <w:rFonts w:ascii="Arial" w:eastAsiaTheme="minorEastAsia" w:hAnsi="Arial" w:cs="Arial"/>
                <w:color w:val="000000" w:themeColor="text1"/>
                <w:szCs w:val="22"/>
              </w:rPr>
              <w:t>m</w:t>
            </w:r>
            <w:r w:rsidR="00FB27F2" w:rsidRPr="00951E3B">
              <w:rPr>
                <w:rFonts w:ascii="Arial" w:eastAsiaTheme="minorEastAsia" w:hAnsi="Arial" w:cs="Arial"/>
                <w:color w:val="000000" w:themeColor="text1"/>
                <w:szCs w:val="22"/>
              </w:rPr>
              <w:t xml:space="preserve">ateriały na </w:t>
            </w:r>
            <w:r w:rsidRPr="00951E3B">
              <w:rPr>
                <w:rFonts w:ascii="Arial" w:eastAsiaTheme="minorEastAsia" w:hAnsi="Arial" w:cs="Arial"/>
                <w:color w:val="000000" w:themeColor="text1"/>
                <w:szCs w:val="22"/>
              </w:rPr>
              <w:t>r</w:t>
            </w:r>
            <w:r w:rsidR="00FB27F2" w:rsidRPr="00951E3B">
              <w:rPr>
                <w:rFonts w:ascii="Arial" w:eastAsiaTheme="minorEastAsia" w:hAnsi="Arial" w:cs="Arial"/>
                <w:color w:val="000000" w:themeColor="text1"/>
                <w:szCs w:val="22"/>
              </w:rPr>
              <w:t xml:space="preserve">oboty eksploatacyjne, </w:t>
            </w:r>
            <w:r w:rsidRPr="00951E3B">
              <w:rPr>
                <w:rFonts w:ascii="Arial" w:eastAsiaTheme="minorEastAsia" w:hAnsi="Arial" w:cs="Arial"/>
                <w:color w:val="000000" w:themeColor="text1"/>
                <w:szCs w:val="22"/>
              </w:rPr>
              <w:t>r</w:t>
            </w:r>
            <w:r w:rsidR="00FB27F2" w:rsidRPr="00951E3B">
              <w:rPr>
                <w:rFonts w:ascii="Arial" w:eastAsiaTheme="minorEastAsia" w:hAnsi="Arial" w:cs="Arial"/>
                <w:color w:val="000000" w:themeColor="text1"/>
                <w:szCs w:val="22"/>
              </w:rPr>
              <w:t xml:space="preserve">oboty przygotowawcze, </w:t>
            </w:r>
            <w:r w:rsidRPr="00951E3B">
              <w:rPr>
                <w:rFonts w:ascii="Arial" w:eastAsiaTheme="minorEastAsia" w:hAnsi="Arial" w:cs="Arial"/>
                <w:color w:val="000000" w:themeColor="text1"/>
                <w:szCs w:val="22"/>
              </w:rPr>
              <w:t>z</w:t>
            </w:r>
            <w:r w:rsidR="00FB27F2" w:rsidRPr="00951E3B">
              <w:rPr>
                <w:rFonts w:ascii="Arial" w:eastAsiaTheme="minorEastAsia" w:hAnsi="Arial" w:cs="Arial"/>
                <w:color w:val="000000" w:themeColor="text1"/>
                <w:szCs w:val="22"/>
              </w:rPr>
              <w:t xml:space="preserve">brojenie ścian, </w:t>
            </w:r>
            <w:r w:rsidRPr="00951E3B">
              <w:rPr>
                <w:rFonts w:ascii="Arial" w:eastAsiaTheme="minorEastAsia" w:hAnsi="Arial" w:cs="Arial"/>
                <w:color w:val="000000" w:themeColor="text1"/>
                <w:szCs w:val="22"/>
              </w:rPr>
              <w:t>p</w:t>
            </w:r>
            <w:r w:rsidR="00FB27F2" w:rsidRPr="00951E3B">
              <w:rPr>
                <w:rFonts w:ascii="Arial" w:eastAsiaTheme="minorEastAsia" w:hAnsi="Arial" w:cs="Arial"/>
                <w:color w:val="000000" w:themeColor="text1"/>
                <w:szCs w:val="22"/>
              </w:rPr>
              <w:t xml:space="preserve">ozostałe zużycie materiałów, </w:t>
            </w:r>
            <w:r w:rsidRPr="00951E3B">
              <w:rPr>
                <w:rFonts w:ascii="Arial" w:eastAsiaTheme="minorEastAsia" w:hAnsi="Arial" w:cs="Arial"/>
                <w:color w:val="000000" w:themeColor="text1"/>
                <w:szCs w:val="22"/>
              </w:rPr>
              <w:t>e</w:t>
            </w:r>
            <w:r w:rsidR="00FB27F2" w:rsidRPr="00951E3B">
              <w:rPr>
                <w:rFonts w:ascii="Arial" w:eastAsiaTheme="minorEastAsia" w:hAnsi="Arial" w:cs="Arial"/>
                <w:color w:val="000000" w:themeColor="text1"/>
                <w:szCs w:val="22"/>
              </w:rPr>
              <w:t xml:space="preserve">nergia), </w:t>
            </w:r>
          </w:p>
          <w:p w14:paraId="494EC358" w14:textId="6E1B7AC5" w:rsidR="00472FF7" w:rsidRPr="00951E3B" w:rsidRDefault="00472FF7" w:rsidP="0010248E">
            <w:pPr>
              <w:pStyle w:val="H6"/>
              <w:tabs>
                <w:tab w:val="clear" w:pos="2268"/>
                <w:tab w:val="clear" w:pos="3119"/>
                <w:tab w:val="left" w:pos="2017"/>
                <w:tab w:val="left" w:pos="2158"/>
              </w:tabs>
              <w:ind w:left="2017" w:hanging="534"/>
              <w:rPr>
                <w:rFonts w:ascii="Arial" w:hAnsi="Arial" w:cs="Arial"/>
                <w:color w:val="000000" w:themeColor="text1"/>
                <w:szCs w:val="22"/>
              </w:rPr>
            </w:pPr>
            <w:r w:rsidRPr="00951E3B">
              <w:rPr>
                <w:rFonts w:ascii="Arial" w:eastAsiaTheme="minorEastAsia" w:hAnsi="Arial" w:cs="Arial"/>
                <w:color w:val="000000" w:themeColor="text1"/>
                <w:szCs w:val="22"/>
              </w:rPr>
              <w:t>u</w:t>
            </w:r>
            <w:r w:rsidR="00396068" w:rsidRPr="00951E3B">
              <w:rPr>
                <w:rFonts w:ascii="Arial" w:eastAsiaTheme="minorEastAsia" w:hAnsi="Arial" w:cs="Arial"/>
                <w:color w:val="000000" w:themeColor="text1"/>
                <w:szCs w:val="22"/>
              </w:rPr>
              <w:t>sługi obce</w:t>
            </w:r>
            <w:r w:rsidR="00FB27F2" w:rsidRPr="00951E3B">
              <w:rPr>
                <w:rFonts w:ascii="Arial" w:eastAsiaTheme="minorEastAsia" w:hAnsi="Arial" w:cs="Arial"/>
                <w:color w:val="000000" w:themeColor="text1"/>
                <w:szCs w:val="22"/>
              </w:rPr>
              <w:t xml:space="preserve"> (</w:t>
            </w:r>
            <w:r w:rsidRPr="00951E3B">
              <w:rPr>
                <w:rFonts w:ascii="Arial" w:eastAsiaTheme="minorEastAsia" w:hAnsi="Arial" w:cs="Arial"/>
                <w:color w:val="000000" w:themeColor="text1"/>
                <w:szCs w:val="22"/>
              </w:rPr>
              <w:t>u</w:t>
            </w:r>
            <w:r w:rsidR="00FB27F2" w:rsidRPr="00951E3B">
              <w:rPr>
                <w:rFonts w:ascii="Arial" w:eastAsiaTheme="minorEastAsia" w:hAnsi="Arial" w:cs="Arial"/>
                <w:color w:val="000000" w:themeColor="text1"/>
                <w:szCs w:val="22"/>
              </w:rPr>
              <w:t xml:space="preserve">sługi remontowe i serwisowe, </w:t>
            </w:r>
            <w:r w:rsidRPr="00951E3B">
              <w:rPr>
                <w:rFonts w:ascii="Arial" w:eastAsiaTheme="minorEastAsia" w:hAnsi="Arial" w:cs="Arial"/>
                <w:color w:val="000000" w:themeColor="text1"/>
                <w:szCs w:val="22"/>
              </w:rPr>
              <w:t>u</w:t>
            </w:r>
            <w:r w:rsidR="00FB27F2" w:rsidRPr="00951E3B">
              <w:rPr>
                <w:rFonts w:ascii="Arial" w:eastAsiaTheme="minorEastAsia" w:hAnsi="Arial" w:cs="Arial"/>
                <w:color w:val="000000" w:themeColor="text1"/>
                <w:szCs w:val="22"/>
              </w:rPr>
              <w:t xml:space="preserve">sługi transportowe, </w:t>
            </w:r>
            <w:r w:rsidRPr="00951E3B">
              <w:rPr>
                <w:rFonts w:ascii="Arial" w:eastAsiaTheme="minorEastAsia" w:hAnsi="Arial" w:cs="Arial"/>
                <w:color w:val="000000" w:themeColor="text1"/>
                <w:szCs w:val="22"/>
              </w:rPr>
              <w:t>u</w:t>
            </w:r>
            <w:r w:rsidR="00FB27F2" w:rsidRPr="00951E3B">
              <w:rPr>
                <w:rFonts w:ascii="Arial" w:eastAsiaTheme="minorEastAsia" w:hAnsi="Arial" w:cs="Arial"/>
                <w:color w:val="000000" w:themeColor="text1"/>
                <w:szCs w:val="22"/>
              </w:rPr>
              <w:t xml:space="preserve">sługi najmu, </w:t>
            </w:r>
            <w:r w:rsidRPr="00951E3B">
              <w:rPr>
                <w:rFonts w:ascii="Arial" w:eastAsiaTheme="minorEastAsia" w:hAnsi="Arial" w:cs="Arial"/>
                <w:color w:val="000000" w:themeColor="text1"/>
                <w:szCs w:val="22"/>
              </w:rPr>
              <w:t>u</w:t>
            </w:r>
            <w:r w:rsidR="00FB27F2" w:rsidRPr="00951E3B">
              <w:rPr>
                <w:rFonts w:ascii="Arial" w:eastAsiaTheme="minorEastAsia" w:hAnsi="Arial" w:cs="Arial"/>
                <w:color w:val="000000" w:themeColor="text1"/>
                <w:szCs w:val="22"/>
              </w:rPr>
              <w:t xml:space="preserve">sługi wiertniczo-górnicze, </w:t>
            </w:r>
            <w:r w:rsidRPr="00951E3B">
              <w:rPr>
                <w:rFonts w:ascii="Arial" w:eastAsiaTheme="minorEastAsia" w:hAnsi="Arial" w:cs="Arial"/>
                <w:color w:val="000000" w:themeColor="text1"/>
                <w:szCs w:val="22"/>
              </w:rPr>
              <w:t>p</w:t>
            </w:r>
            <w:r w:rsidR="00FB27F2" w:rsidRPr="00951E3B">
              <w:rPr>
                <w:rFonts w:ascii="Arial" w:eastAsiaTheme="minorEastAsia" w:hAnsi="Arial" w:cs="Arial"/>
                <w:color w:val="000000" w:themeColor="text1"/>
                <w:szCs w:val="22"/>
              </w:rPr>
              <w:t xml:space="preserve">ozostałe usługi obce), </w:t>
            </w:r>
          </w:p>
          <w:p w14:paraId="73565614" w14:textId="1A7FB3F1" w:rsidR="00472FF7" w:rsidRPr="00951E3B" w:rsidRDefault="00472FF7" w:rsidP="0010248E">
            <w:pPr>
              <w:pStyle w:val="H6"/>
              <w:tabs>
                <w:tab w:val="clear" w:pos="2268"/>
                <w:tab w:val="clear" w:pos="3119"/>
                <w:tab w:val="left" w:pos="2017"/>
                <w:tab w:val="left" w:pos="2158"/>
              </w:tabs>
              <w:ind w:left="2017" w:hanging="534"/>
              <w:rPr>
                <w:rFonts w:ascii="Arial" w:hAnsi="Arial" w:cs="Arial"/>
                <w:color w:val="000000" w:themeColor="text1"/>
                <w:szCs w:val="22"/>
              </w:rPr>
            </w:pPr>
            <w:r w:rsidRPr="00951E3B">
              <w:rPr>
                <w:rFonts w:ascii="Arial" w:eastAsiaTheme="minorEastAsia" w:hAnsi="Arial" w:cs="Arial"/>
                <w:color w:val="000000" w:themeColor="text1"/>
                <w:szCs w:val="22"/>
              </w:rPr>
              <w:t>p</w:t>
            </w:r>
            <w:r w:rsidR="00396068" w:rsidRPr="00951E3B">
              <w:rPr>
                <w:rFonts w:ascii="Arial" w:eastAsiaTheme="minorEastAsia" w:hAnsi="Arial" w:cs="Arial"/>
                <w:color w:val="000000" w:themeColor="text1"/>
                <w:szCs w:val="22"/>
              </w:rPr>
              <w:t>odatki i opłaty</w:t>
            </w:r>
            <w:r w:rsidR="00FB27F2" w:rsidRPr="00951E3B">
              <w:rPr>
                <w:rFonts w:ascii="Arial" w:eastAsiaTheme="minorEastAsia" w:hAnsi="Arial" w:cs="Arial"/>
                <w:color w:val="000000" w:themeColor="text1"/>
                <w:szCs w:val="22"/>
              </w:rPr>
              <w:t xml:space="preserve"> (</w:t>
            </w:r>
            <w:r w:rsidRPr="00951E3B">
              <w:rPr>
                <w:rFonts w:ascii="Arial" w:eastAsiaTheme="minorEastAsia" w:hAnsi="Arial" w:cs="Arial"/>
                <w:color w:val="000000" w:themeColor="text1"/>
                <w:szCs w:val="22"/>
              </w:rPr>
              <w:t>o</w:t>
            </w:r>
            <w:r w:rsidR="004E6015" w:rsidRPr="00951E3B">
              <w:rPr>
                <w:rFonts w:ascii="Arial" w:eastAsiaTheme="minorEastAsia" w:hAnsi="Arial" w:cs="Arial"/>
                <w:color w:val="000000" w:themeColor="text1"/>
                <w:szCs w:val="22"/>
              </w:rPr>
              <w:t xml:space="preserve">płata za eksploatację złoża, </w:t>
            </w:r>
            <w:r w:rsidRPr="00951E3B">
              <w:rPr>
                <w:rFonts w:ascii="Arial" w:eastAsiaTheme="minorEastAsia" w:hAnsi="Arial" w:cs="Arial"/>
                <w:color w:val="000000" w:themeColor="text1"/>
                <w:szCs w:val="22"/>
              </w:rPr>
              <w:t>p</w:t>
            </w:r>
            <w:r w:rsidR="004E6015" w:rsidRPr="00951E3B">
              <w:rPr>
                <w:rFonts w:ascii="Arial" w:eastAsiaTheme="minorEastAsia" w:hAnsi="Arial" w:cs="Arial"/>
                <w:color w:val="000000" w:themeColor="text1"/>
                <w:szCs w:val="22"/>
              </w:rPr>
              <w:t xml:space="preserve">odatek od nieruchomości, </w:t>
            </w:r>
            <w:r w:rsidRPr="00951E3B">
              <w:rPr>
                <w:rFonts w:ascii="Arial" w:eastAsiaTheme="minorEastAsia" w:hAnsi="Arial" w:cs="Arial"/>
                <w:color w:val="000000" w:themeColor="text1"/>
                <w:szCs w:val="22"/>
              </w:rPr>
              <w:t>o</w:t>
            </w:r>
            <w:r w:rsidR="004E6015" w:rsidRPr="00951E3B">
              <w:rPr>
                <w:rFonts w:ascii="Arial" w:eastAsiaTheme="minorEastAsia" w:hAnsi="Arial" w:cs="Arial"/>
                <w:color w:val="000000" w:themeColor="text1"/>
                <w:szCs w:val="22"/>
              </w:rPr>
              <w:t xml:space="preserve">płata na rzecz ochrony środowiska, </w:t>
            </w:r>
            <w:r w:rsidRPr="00951E3B">
              <w:rPr>
                <w:rFonts w:ascii="Arial" w:eastAsiaTheme="minorEastAsia" w:hAnsi="Arial" w:cs="Arial"/>
                <w:color w:val="000000" w:themeColor="text1"/>
                <w:szCs w:val="22"/>
              </w:rPr>
              <w:t>w</w:t>
            </w:r>
            <w:r w:rsidR="004E6015" w:rsidRPr="00951E3B">
              <w:rPr>
                <w:rFonts w:ascii="Arial" w:eastAsiaTheme="minorEastAsia" w:hAnsi="Arial" w:cs="Arial"/>
                <w:color w:val="000000" w:themeColor="text1"/>
                <w:szCs w:val="22"/>
              </w:rPr>
              <w:t xml:space="preserve">płaty na rzecz PFRON, </w:t>
            </w:r>
            <w:r w:rsidRPr="00951E3B">
              <w:rPr>
                <w:rFonts w:ascii="Arial" w:eastAsiaTheme="minorEastAsia" w:hAnsi="Arial" w:cs="Arial"/>
                <w:color w:val="000000" w:themeColor="text1"/>
                <w:szCs w:val="22"/>
              </w:rPr>
              <w:t>p</w:t>
            </w:r>
            <w:r w:rsidR="004E6015" w:rsidRPr="00951E3B">
              <w:rPr>
                <w:rFonts w:ascii="Arial" w:eastAsiaTheme="minorEastAsia" w:hAnsi="Arial" w:cs="Arial"/>
                <w:color w:val="000000" w:themeColor="text1"/>
                <w:szCs w:val="22"/>
              </w:rPr>
              <w:t xml:space="preserve">ozostałe podatki i opłaty), </w:t>
            </w:r>
          </w:p>
          <w:p w14:paraId="12DFB480" w14:textId="53F5853B" w:rsidR="00472FF7" w:rsidRPr="00951E3B" w:rsidRDefault="00472FF7" w:rsidP="0010248E">
            <w:pPr>
              <w:pStyle w:val="H6"/>
              <w:tabs>
                <w:tab w:val="clear" w:pos="2268"/>
                <w:tab w:val="clear" w:pos="3119"/>
                <w:tab w:val="left" w:pos="2017"/>
                <w:tab w:val="left" w:pos="2158"/>
              </w:tabs>
              <w:ind w:left="2017" w:hanging="534"/>
              <w:rPr>
                <w:rFonts w:ascii="Arial" w:hAnsi="Arial" w:cs="Arial"/>
                <w:color w:val="000000" w:themeColor="text1"/>
                <w:szCs w:val="22"/>
              </w:rPr>
            </w:pPr>
            <w:r w:rsidRPr="00951E3B">
              <w:rPr>
                <w:rFonts w:ascii="Arial" w:eastAsiaTheme="minorEastAsia" w:hAnsi="Arial" w:cs="Arial"/>
                <w:color w:val="000000" w:themeColor="text1"/>
                <w:szCs w:val="22"/>
              </w:rPr>
              <w:t>w</w:t>
            </w:r>
            <w:r w:rsidR="00396068" w:rsidRPr="00951E3B">
              <w:rPr>
                <w:rFonts w:ascii="Arial" w:eastAsiaTheme="minorEastAsia" w:hAnsi="Arial" w:cs="Arial"/>
                <w:color w:val="000000" w:themeColor="text1"/>
                <w:szCs w:val="22"/>
              </w:rPr>
              <w:t>ynagrodzenia z narzutami</w:t>
            </w:r>
            <w:r w:rsidR="004E6015" w:rsidRPr="00951E3B">
              <w:rPr>
                <w:rFonts w:ascii="Arial" w:eastAsiaTheme="minorEastAsia" w:hAnsi="Arial" w:cs="Arial"/>
                <w:color w:val="000000" w:themeColor="text1"/>
                <w:szCs w:val="22"/>
              </w:rPr>
              <w:t xml:space="preserve"> (</w:t>
            </w:r>
            <w:r w:rsidRPr="00951E3B">
              <w:rPr>
                <w:rFonts w:ascii="Arial" w:eastAsiaTheme="minorEastAsia" w:hAnsi="Arial" w:cs="Arial"/>
                <w:color w:val="000000" w:themeColor="text1"/>
                <w:szCs w:val="22"/>
              </w:rPr>
              <w:t>w</w:t>
            </w:r>
            <w:r w:rsidR="004E6015" w:rsidRPr="00951E3B">
              <w:rPr>
                <w:rFonts w:ascii="Arial" w:eastAsiaTheme="minorEastAsia" w:hAnsi="Arial" w:cs="Arial"/>
                <w:color w:val="000000" w:themeColor="text1"/>
                <w:szCs w:val="22"/>
              </w:rPr>
              <w:t xml:space="preserve">ynagrodzenia zasadnicze, </w:t>
            </w:r>
            <w:r w:rsidR="00587AE4" w:rsidRPr="00951E3B">
              <w:rPr>
                <w:rFonts w:ascii="Arial" w:eastAsiaTheme="minorEastAsia" w:hAnsi="Arial" w:cs="Arial"/>
                <w:color w:val="000000" w:themeColor="text1"/>
                <w:szCs w:val="22"/>
              </w:rPr>
              <w:t>n</w:t>
            </w:r>
            <w:r w:rsidR="004E6015" w:rsidRPr="00951E3B">
              <w:rPr>
                <w:rFonts w:ascii="Arial" w:eastAsiaTheme="minorEastAsia" w:hAnsi="Arial" w:cs="Arial"/>
                <w:color w:val="000000" w:themeColor="text1"/>
                <w:szCs w:val="22"/>
              </w:rPr>
              <w:t xml:space="preserve">arzuty na wynagrodzenia, </w:t>
            </w:r>
            <w:r w:rsidRPr="00951E3B">
              <w:rPr>
                <w:rFonts w:ascii="Arial" w:eastAsiaTheme="minorEastAsia" w:hAnsi="Arial" w:cs="Arial"/>
                <w:color w:val="000000" w:themeColor="text1"/>
                <w:szCs w:val="22"/>
              </w:rPr>
              <w:t>ś</w:t>
            </w:r>
            <w:r w:rsidR="004E6015" w:rsidRPr="00951E3B">
              <w:rPr>
                <w:rFonts w:ascii="Arial" w:eastAsiaTheme="minorEastAsia" w:hAnsi="Arial" w:cs="Arial"/>
                <w:color w:val="000000" w:themeColor="text1"/>
                <w:szCs w:val="22"/>
              </w:rPr>
              <w:t xml:space="preserve">wiadczenia na rzecz pracowników,), </w:t>
            </w:r>
          </w:p>
          <w:p w14:paraId="6BA4C901" w14:textId="1B8E8B4C" w:rsidR="00472FF7" w:rsidRPr="00951E3B" w:rsidRDefault="00472FF7" w:rsidP="0010248E">
            <w:pPr>
              <w:pStyle w:val="H6"/>
              <w:tabs>
                <w:tab w:val="clear" w:pos="2268"/>
                <w:tab w:val="clear" w:pos="3119"/>
                <w:tab w:val="left" w:pos="2017"/>
                <w:tab w:val="left" w:pos="2158"/>
              </w:tabs>
              <w:ind w:left="2017" w:hanging="534"/>
              <w:rPr>
                <w:rFonts w:ascii="Arial" w:hAnsi="Arial" w:cs="Arial"/>
                <w:color w:val="000000" w:themeColor="text1"/>
                <w:szCs w:val="22"/>
              </w:rPr>
            </w:pPr>
            <w:r w:rsidRPr="00951E3B">
              <w:rPr>
                <w:rFonts w:ascii="Arial" w:eastAsiaTheme="minorEastAsia" w:hAnsi="Arial" w:cs="Arial"/>
                <w:color w:val="000000" w:themeColor="text1"/>
                <w:szCs w:val="22"/>
              </w:rPr>
              <w:t>p</w:t>
            </w:r>
            <w:r w:rsidR="00396068" w:rsidRPr="00951E3B">
              <w:rPr>
                <w:rFonts w:ascii="Arial" w:eastAsiaTheme="minorEastAsia" w:hAnsi="Arial" w:cs="Arial"/>
                <w:color w:val="000000" w:themeColor="text1"/>
                <w:szCs w:val="22"/>
              </w:rPr>
              <w:t>ozostałe koszty rodzajowe</w:t>
            </w:r>
            <w:r w:rsidR="000B5F10" w:rsidRPr="00951E3B">
              <w:rPr>
                <w:rFonts w:ascii="Arial" w:eastAsiaTheme="minorEastAsia" w:hAnsi="Arial" w:cs="Arial"/>
                <w:color w:val="000000" w:themeColor="text1"/>
                <w:szCs w:val="22"/>
              </w:rPr>
              <w:t>,</w:t>
            </w:r>
            <w:r w:rsidR="00122D30" w:rsidRPr="00951E3B">
              <w:rPr>
                <w:rFonts w:ascii="Arial" w:eastAsiaTheme="minorEastAsia" w:hAnsi="Arial" w:cs="Arial"/>
                <w:color w:val="000000" w:themeColor="text1"/>
                <w:szCs w:val="22"/>
              </w:rPr>
              <w:t xml:space="preserve"> </w:t>
            </w:r>
          </w:p>
          <w:p w14:paraId="38D43FAE" w14:textId="7AAD386D" w:rsidR="00F676E6" w:rsidRPr="00951E3B" w:rsidRDefault="00091161" w:rsidP="0010248E">
            <w:pPr>
              <w:pStyle w:val="H5"/>
              <w:ind w:left="2268" w:hanging="1669"/>
              <w:rPr>
                <w:rFonts w:ascii="Arial" w:hAnsi="Arial" w:cs="Arial"/>
                <w:color w:val="000000" w:themeColor="text1"/>
                <w:szCs w:val="22"/>
              </w:rPr>
            </w:pPr>
            <w:r w:rsidRPr="00951E3B">
              <w:rPr>
                <w:rFonts w:ascii="Arial" w:eastAsiaTheme="minorEastAsia" w:hAnsi="Arial" w:cs="Arial"/>
                <w:color w:val="000000" w:themeColor="text1"/>
                <w:szCs w:val="22"/>
              </w:rPr>
              <w:t xml:space="preserve">podlegają </w:t>
            </w:r>
            <w:r w:rsidR="00F676E6" w:rsidRPr="00951E3B">
              <w:rPr>
                <w:rFonts w:ascii="Arial" w:eastAsiaTheme="minorEastAsia" w:hAnsi="Arial" w:cs="Arial"/>
                <w:color w:val="000000" w:themeColor="text1"/>
                <w:szCs w:val="22"/>
              </w:rPr>
              <w:t>mechanizm</w:t>
            </w:r>
            <w:r w:rsidRPr="00951E3B">
              <w:rPr>
                <w:rFonts w:ascii="Arial" w:eastAsiaTheme="minorEastAsia" w:hAnsi="Arial" w:cs="Arial"/>
                <w:color w:val="000000" w:themeColor="text1"/>
                <w:szCs w:val="22"/>
              </w:rPr>
              <w:t>owi</w:t>
            </w:r>
            <w:r w:rsidR="00F676E6" w:rsidRPr="00951E3B">
              <w:rPr>
                <w:rFonts w:ascii="Arial" w:eastAsiaTheme="minorEastAsia" w:hAnsi="Arial" w:cs="Arial"/>
                <w:color w:val="000000" w:themeColor="text1"/>
                <w:szCs w:val="22"/>
              </w:rPr>
              <w:t xml:space="preserve"> optymalizacji i weryfikacji </w:t>
            </w:r>
            <w:r w:rsidR="00122D30" w:rsidRPr="00951E3B">
              <w:rPr>
                <w:rFonts w:ascii="Arial" w:eastAsiaTheme="minorEastAsia" w:hAnsi="Arial" w:cs="Arial"/>
                <w:color w:val="000000" w:themeColor="text1"/>
                <w:szCs w:val="22"/>
              </w:rPr>
              <w:t>wg następujących zasad:</w:t>
            </w:r>
          </w:p>
          <w:p w14:paraId="4D588175" w14:textId="77777777" w:rsidR="00BA0BED" w:rsidRPr="00951E3B" w:rsidRDefault="00BC7DEB" w:rsidP="0010248E">
            <w:pPr>
              <w:pStyle w:val="H6"/>
              <w:tabs>
                <w:tab w:val="clear" w:pos="3119"/>
                <w:tab w:val="left" w:pos="2017"/>
              </w:tabs>
              <w:ind w:left="2017" w:hanging="567"/>
              <w:rPr>
                <w:rFonts w:ascii="Arial" w:hAnsi="Arial" w:cs="Arial"/>
                <w:color w:val="000000" w:themeColor="text1"/>
                <w:szCs w:val="22"/>
              </w:rPr>
            </w:pPr>
            <w:r w:rsidRPr="00951E3B">
              <w:rPr>
                <w:rFonts w:ascii="Arial" w:hAnsi="Arial" w:cs="Arial"/>
                <w:color w:val="000000" w:themeColor="text1"/>
                <w:szCs w:val="22"/>
              </w:rPr>
              <w:lastRenderedPageBreak/>
              <w:t>koszty wynagrodzeń: ograniczenie zatrudniania do uzasadnionych przypadków oraz utrzymanie kosztów wynagrodzeń, z uwzględnieniem okresowo uzgadnianej indeksacji,</w:t>
            </w:r>
            <w:r w:rsidR="00BA0BED" w:rsidRPr="00951E3B">
              <w:rPr>
                <w:rFonts w:ascii="Arial" w:hAnsi="Arial" w:cs="Arial"/>
                <w:color w:val="000000" w:themeColor="text1"/>
                <w:szCs w:val="22"/>
              </w:rPr>
              <w:t xml:space="preserve"> </w:t>
            </w:r>
          </w:p>
          <w:p w14:paraId="6127C850" w14:textId="57BB73DB" w:rsidR="00122D30" w:rsidRPr="00951E3B" w:rsidRDefault="00122D30" w:rsidP="0010248E">
            <w:pPr>
              <w:pStyle w:val="H6"/>
              <w:tabs>
                <w:tab w:val="clear" w:pos="3119"/>
                <w:tab w:val="left" w:pos="2017"/>
              </w:tabs>
              <w:ind w:left="2017" w:hanging="567"/>
              <w:rPr>
                <w:rFonts w:ascii="Arial" w:hAnsi="Arial" w:cs="Arial"/>
                <w:color w:val="000000" w:themeColor="text1"/>
                <w:szCs w:val="22"/>
              </w:rPr>
            </w:pPr>
            <w:r w:rsidRPr="00951E3B">
              <w:rPr>
                <w:rFonts w:ascii="Arial" w:hAnsi="Arial" w:cs="Arial"/>
                <w:color w:val="000000" w:themeColor="text1"/>
                <w:szCs w:val="22"/>
              </w:rPr>
              <w:t>inwestycje: zakaz inwestycji strategicznych (w pozyskanie nowego złoża) oraz zakaz zakupu istotnych środków trwałych, niezgodnych z przyjętymi programami operacyjnymi,</w:t>
            </w:r>
          </w:p>
          <w:p w14:paraId="079F1667" w14:textId="46056363" w:rsidR="000B5F10" w:rsidRPr="00951E3B" w:rsidRDefault="00122D30" w:rsidP="0010248E">
            <w:pPr>
              <w:pStyle w:val="H6"/>
              <w:tabs>
                <w:tab w:val="clear" w:pos="3119"/>
                <w:tab w:val="left" w:pos="2017"/>
              </w:tabs>
              <w:ind w:left="2017" w:hanging="567"/>
              <w:rPr>
                <w:rFonts w:ascii="Arial" w:hAnsi="Arial" w:cs="Arial"/>
                <w:color w:val="000000" w:themeColor="text1"/>
                <w:szCs w:val="22"/>
              </w:rPr>
            </w:pPr>
            <w:r w:rsidRPr="00951E3B">
              <w:rPr>
                <w:rFonts w:ascii="Arial" w:hAnsi="Arial" w:cs="Arial"/>
                <w:color w:val="000000" w:themeColor="text1"/>
                <w:szCs w:val="22"/>
              </w:rPr>
              <w:t xml:space="preserve">usługi obce: stosowanie konkurencyjnych procedur zakupu usług, zaś budżet usług remontowych oraz wiertniczo – górniczych będzie ustalany odrębnie dla każdego roku funkcjonowania jednostki do jej zamknięcia i weryfikowany przez niezależnego eksperta </w:t>
            </w:r>
            <w:r w:rsidR="0087143E" w:rsidRPr="00951E3B">
              <w:rPr>
                <w:rFonts w:ascii="Arial" w:hAnsi="Arial" w:cs="Arial"/>
                <w:color w:val="000000" w:themeColor="text1"/>
                <w:szCs w:val="22"/>
              </w:rPr>
              <w:t xml:space="preserve">branżowego </w:t>
            </w:r>
            <w:r w:rsidRPr="00951E3B">
              <w:rPr>
                <w:rFonts w:ascii="Arial" w:hAnsi="Arial" w:cs="Arial"/>
                <w:color w:val="000000" w:themeColor="text1"/>
                <w:szCs w:val="22"/>
              </w:rPr>
              <w:t>(w ramach jej programu operacyjnego)</w:t>
            </w:r>
            <w:r w:rsidR="000B5F10" w:rsidRPr="00951E3B">
              <w:rPr>
                <w:rFonts w:ascii="Arial" w:hAnsi="Arial" w:cs="Arial"/>
                <w:color w:val="000000" w:themeColor="text1"/>
                <w:szCs w:val="22"/>
              </w:rPr>
              <w:t>.</w:t>
            </w:r>
            <w:r w:rsidRPr="00951E3B">
              <w:rPr>
                <w:rFonts w:ascii="Arial" w:hAnsi="Arial" w:cs="Arial"/>
                <w:color w:val="000000" w:themeColor="text1"/>
                <w:szCs w:val="22"/>
              </w:rPr>
              <w:t xml:space="preserve"> </w:t>
            </w:r>
          </w:p>
          <w:p w14:paraId="0D7CD9AE" w14:textId="178A0DDF" w:rsidR="00091161" w:rsidRPr="00951E3B" w:rsidRDefault="00F676E6" w:rsidP="00091161">
            <w:pPr>
              <w:pStyle w:val="H3"/>
              <w:rPr>
                <w:rFonts w:ascii="Arial" w:hAnsi="Arial" w:cs="Arial"/>
                <w:color w:val="000000" w:themeColor="text1"/>
                <w:szCs w:val="22"/>
              </w:rPr>
            </w:pPr>
            <w:r w:rsidRPr="00951E3B">
              <w:rPr>
                <w:rFonts w:ascii="Arial" w:eastAsiaTheme="minorEastAsia" w:hAnsi="Arial" w:cs="Arial"/>
                <w:color w:val="000000" w:themeColor="text1"/>
                <w:szCs w:val="22"/>
              </w:rPr>
              <w:t>Przychody</w:t>
            </w:r>
            <w:r w:rsidR="00091161" w:rsidRPr="00951E3B">
              <w:rPr>
                <w:rFonts w:ascii="Arial" w:eastAsiaTheme="minorEastAsia" w:hAnsi="Arial" w:cs="Arial"/>
                <w:color w:val="000000" w:themeColor="text1"/>
                <w:szCs w:val="22"/>
              </w:rPr>
              <w:t xml:space="preserve"> brane pod uwagę przy wyliczaniu dopłaty do redukcji zdolności kosztów produkcyjnych:</w:t>
            </w:r>
          </w:p>
          <w:p w14:paraId="419BD48C" w14:textId="7D2B338C" w:rsidR="00F676E6" w:rsidRPr="00951E3B" w:rsidRDefault="00F676E6" w:rsidP="0010248E">
            <w:pPr>
              <w:pStyle w:val="H5"/>
              <w:tabs>
                <w:tab w:val="clear" w:pos="2268"/>
                <w:tab w:val="left" w:pos="1450"/>
              </w:tabs>
              <w:ind w:left="1450" w:hanging="851"/>
              <w:rPr>
                <w:rFonts w:ascii="Arial" w:eastAsiaTheme="minorEastAsia" w:hAnsi="Arial" w:cs="Arial"/>
                <w:color w:val="000000" w:themeColor="text1"/>
                <w:szCs w:val="22"/>
              </w:rPr>
            </w:pPr>
            <w:r w:rsidRPr="00951E3B">
              <w:rPr>
                <w:rFonts w:ascii="Arial" w:eastAsiaTheme="minorEastAsia" w:hAnsi="Arial" w:cs="Arial"/>
                <w:color w:val="000000" w:themeColor="text1"/>
                <w:szCs w:val="22"/>
              </w:rPr>
              <w:t>określane w oparciu o aktualną cenę rynkową (np. ARA</w:t>
            </w:r>
            <w:r w:rsidR="004E6015" w:rsidRPr="00951E3B">
              <w:rPr>
                <w:rFonts w:ascii="Arial" w:eastAsiaTheme="minorEastAsia" w:hAnsi="Arial" w:cs="Arial"/>
                <w:color w:val="000000" w:themeColor="text1"/>
                <w:szCs w:val="22"/>
              </w:rPr>
              <w:t>/parytet importowy</w:t>
            </w:r>
            <w:r w:rsidRPr="00951E3B">
              <w:rPr>
                <w:rFonts w:ascii="Arial" w:eastAsiaTheme="minorEastAsia" w:hAnsi="Arial" w:cs="Arial"/>
                <w:color w:val="000000" w:themeColor="text1"/>
                <w:szCs w:val="22"/>
              </w:rPr>
              <w:t>) z uwzględnieniem z góry określonego mechanizmu odchyleń (korytarze cenowe)</w:t>
            </w:r>
            <w:r w:rsidR="000B5F10" w:rsidRPr="00951E3B">
              <w:rPr>
                <w:rFonts w:ascii="Arial" w:eastAsiaTheme="minorEastAsia" w:hAnsi="Arial" w:cs="Arial"/>
                <w:color w:val="000000" w:themeColor="text1"/>
                <w:szCs w:val="22"/>
              </w:rPr>
              <w:t>,</w:t>
            </w:r>
          </w:p>
          <w:p w14:paraId="71035D88" w14:textId="68B64740" w:rsidR="00091161" w:rsidRPr="00951E3B" w:rsidRDefault="00091161" w:rsidP="0010248E">
            <w:pPr>
              <w:pStyle w:val="H5"/>
              <w:tabs>
                <w:tab w:val="clear" w:pos="2268"/>
                <w:tab w:val="left" w:pos="1450"/>
              </w:tabs>
              <w:ind w:left="1450" w:hanging="851"/>
              <w:rPr>
                <w:rFonts w:ascii="Arial" w:eastAsiaTheme="minorEastAsia" w:hAnsi="Arial" w:cs="Arial"/>
                <w:color w:val="000000" w:themeColor="text1"/>
                <w:szCs w:val="22"/>
              </w:rPr>
            </w:pPr>
            <w:r w:rsidRPr="00951E3B">
              <w:rPr>
                <w:rFonts w:ascii="Arial" w:eastAsiaTheme="minorEastAsia" w:hAnsi="Arial" w:cs="Arial"/>
                <w:color w:val="000000" w:themeColor="text1"/>
                <w:szCs w:val="22"/>
              </w:rPr>
              <w:t>w sytuacji, w której w ramach danej jednostki nastąpi nadwyżka przychodów nad kosztami – jednostka nie będzie występowała o dopłaty, a nadwyżka zostanie odpowiednio uwzględniona w zgłaszanym zapotrzebowaniu na dopłaty innych jednostek</w:t>
            </w:r>
            <w:r w:rsidR="006F47D0" w:rsidRPr="00951E3B">
              <w:rPr>
                <w:rFonts w:ascii="Arial" w:eastAsiaTheme="minorEastAsia" w:hAnsi="Arial" w:cs="Arial"/>
                <w:color w:val="000000" w:themeColor="text1"/>
                <w:szCs w:val="22"/>
              </w:rPr>
              <w:t xml:space="preserve"> w ramach spółki</w:t>
            </w:r>
            <w:r w:rsidRPr="00951E3B">
              <w:rPr>
                <w:rFonts w:ascii="Arial" w:eastAsiaTheme="minorEastAsia" w:hAnsi="Arial" w:cs="Arial"/>
                <w:color w:val="000000" w:themeColor="text1"/>
                <w:szCs w:val="22"/>
              </w:rPr>
              <w:t>.</w:t>
            </w:r>
          </w:p>
          <w:p w14:paraId="2AACD806" w14:textId="16994232" w:rsidR="0014746B" w:rsidRPr="00951E3B" w:rsidRDefault="00E428B7" w:rsidP="00091161">
            <w:pPr>
              <w:pStyle w:val="H2"/>
              <w:rPr>
                <w:rFonts w:ascii="Arial" w:hAnsi="Arial" w:cs="Arial"/>
                <w:color w:val="000000" w:themeColor="text1"/>
                <w:szCs w:val="22"/>
              </w:rPr>
            </w:pPr>
            <w:r w:rsidRPr="00951E3B">
              <w:rPr>
                <w:rFonts w:ascii="Arial" w:hAnsi="Arial" w:cs="Arial"/>
                <w:color w:val="000000" w:themeColor="text1"/>
                <w:szCs w:val="22"/>
              </w:rPr>
              <w:t xml:space="preserve">Dla systemu dopłat do redukcji zdolności produkcyjnych </w:t>
            </w:r>
            <w:r w:rsidR="005067A7" w:rsidRPr="00951E3B">
              <w:rPr>
                <w:rFonts w:ascii="Arial" w:hAnsi="Arial" w:cs="Arial"/>
                <w:color w:val="000000" w:themeColor="text1"/>
                <w:szCs w:val="22"/>
              </w:rPr>
              <w:t xml:space="preserve">dla każdej jednostki </w:t>
            </w:r>
            <w:r w:rsidR="00BB44F8" w:rsidRPr="00951E3B">
              <w:rPr>
                <w:rFonts w:ascii="Arial" w:hAnsi="Arial" w:cs="Arial"/>
                <w:color w:val="000000" w:themeColor="text1"/>
                <w:szCs w:val="22"/>
              </w:rPr>
              <w:t xml:space="preserve">produkcyjnej </w:t>
            </w:r>
            <w:r w:rsidRPr="00951E3B">
              <w:rPr>
                <w:rFonts w:ascii="Arial" w:hAnsi="Arial" w:cs="Arial"/>
                <w:color w:val="000000" w:themeColor="text1"/>
                <w:szCs w:val="22"/>
              </w:rPr>
              <w:t>zostanie zapewniona odpowiedni</w:t>
            </w:r>
            <w:r w:rsidR="00587AE4" w:rsidRPr="00951E3B">
              <w:rPr>
                <w:rFonts w:ascii="Arial" w:hAnsi="Arial" w:cs="Arial"/>
                <w:color w:val="000000" w:themeColor="text1"/>
                <w:szCs w:val="22"/>
              </w:rPr>
              <w:t>o</w:t>
            </w:r>
            <w:r w:rsidRPr="00951E3B">
              <w:rPr>
                <w:rFonts w:ascii="Arial" w:hAnsi="Arial" w:cs="Arial"/>
                <w:color w:val="000000" w:themeColor="text1"/>
                <w:szCs w:val="22"/>
              </w:rPr>
              <w:t xml:space="preserve"> wydzielona rachunkowość</w:t>
            </w:r>
            <w:r w:rsidR="005067A7" w:rsidRPr="00951E3B">
              <w:rPr>
                <w:rFonts w:ascii="Arial" w:hAnsi="Arial" w:cs="Arial"/>
                <w:color w:val="000000" w:themeColor="text1"/>
                <w:szCs w:val="22"/>
              </w:rPr>
              <w:t xml:space="preserve"> i wyodrębniony rachunek bankowy.</w:t>
            </w:r>
          </w:p>
          <w:p w14:paraId="62CDE501" w14:textId="77777777" w:rsidR="000A7AC8" w:rsidRPr="00951E3B" w:rsidRDefault="000A7AC8" w:rsidP="000A7AC8">
            <w:pPr>
              <w:pStyle w:val="H2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951E3B">
              <w:rPr>
                <w:rFonts w:ascii="Arial" w:hAnsi="Arial" w:cs="Arial"/>
                <w:b/>
                <w:color w:val="000000" w:themeColor="text1"/>
                <w:szCs w:val="22"/>
              </w:rPr>
              <w:t>Monitoring</w:t>
            </w:r>
          </w:p>
          <w:p w14:paraId="319BC8FF" w14:textId="4E97554F" w:rsidR="000A7AC8" w:rsidRPr="00951E3B" w:rsidRDefault="000A7AC8" w:rsidP="000A7AC8">
            <w:pPr>
              <w:pStyle w:val="H3"/>
              <w:rPr>
                <w:rFonts w:ascii="Arial" w:hAnsi="Arial" w:cs="Arial"/>
                <w:color w:val="000000" w:themeColor="text1"/>
                <w:szCs w:val="22"/>
              </w:rPr>
            </w:pPr>
            <w:r w:rsidRPr="00951E3B">
              <w:rPr>
                <w:rFonts w:ascii="Arial" w:hAnsi="Arial" w:cs="Arial"/>
                <w:color w:val="000000" w:themeColor="text1"/>
                <w:szCs w:val="22"/>
              </w:rPr>
              <w:t>Monitoring regularny - p</w:t>
            </w:r>
            <w:r w:rsidR="00070209" w:rsidRPr="00951E3B">
              <w:rPr>
                <w:rFonts w:ascii="Arial" w:hAnsi="Arial" w:cs="Arial"/>
                <w:color w:val="000000" w:themeColor="text1"/>
                <w:szCs w:val="22"/>
              </w:rPr>
              <w:t xml:space="preserve">rowadzony </w:t>
            </w:r>
            <w:r w:rsidR="00BA15EE" w:rsidRPr="00951E3B">
              <w:rPr>
                <w:rFonts w:ascii="Arial" w:hAnsi="Arial" w:cs="Arial"/>
                <w:color w:val="000000" w:themeColor="text1"/>
                <w:szCs w:val="22"/>
              </w:rPr>
              <w:t xml:space="preserve">będzie </w:t>
            </w:r>
            <w:r w:rsidR="00070209" w:rsidRPr="00951E3B">
              <w:rPr>
                <w:rFonts w:ascii="Arial" w:hAnsi="Arial" w:cs="Arial"/>
                <w:color w:val="000000" w:themeColor="text1"/>
                <w:szCs w:val="22"/>
              </w:rPr>
              <w:t xml:space="preserve">w cyklach </w:t>
            </w:r>
            <w:r w:rsidR="000B5F10" w:rsidRPr="00951E3B">
              <w:rPr>
                <w:rFonts w:ascii="Arial" w:hAnsi="Arial" w:cs="Arial"/>
                <w:color w:val="000000" w:themeColor="text1"/>
                <w:szCs w:val="22"/>
              </w:rPr>
              <w:t xml:space="preserve">kwartalnych bądź półrocznych w zależności od badanego parametru. </w:t>
            </w:r>
          </w:p>
          <w:p w14:paraId="2A7CC3CC" w14:textId="25D56C66" w:rsidR="003F500E" w:rsidRPr="00951E3B" w:rsidRDefault="003F500E" w:rsidP="00087F09">
            <w:pPr>
              <w:pStyle w:val="H3"/>
              <w:rPr>
                <w:rFonts w:ascii="Arial" w:hAnsi="Arial" w:cs="Arial"/>
                <w:color w:val="000000" w:themeColor="text1"/>
                <w:szCs w:val="22"/>
              </w:rPr>
            </w:pPr>
            <w:r w:rsidRPr="00951E3B">
              <w:rPr>
                <w:rFonts w:ascii="Arial" w:hAnsi="Arial" w:cs="Arial"/>
                <w:color w:val="000000" w:themeColor="text1"/>
                <w:szCs w:val="22"/>
              </w:rPr>
              <w:t xml:space="preserve">Weryfikacja nadzwyczajna – dokonywana w przypadku: </w:t>
            </w:r>
          </w:p>
          <w:p w14:paraId="0F7043ED" w14:textId="77777777" w:rsidR="003F500E" w:rsidRPr="00951E3B" w:rsidRDefault="003F500E" w:rsidP="00087F09">
            <w:pPr>
              <w:pStyle w:val="H6"/>
              <w:numPr>
                <w:ilvl w:val="0"/>
                <w:numId w:val="36"/>
              </w:numPr>
              <w:tabs>
                <w:tab w:val="clear" w:pos="2268"/>
                <w:tab w:val="left" w:pos="1450"/>
              </w:tabs>
              <w:ind w:left="1588" w:hanging="567"/>
              <w:rPr>
                <w:rFonts w:ascii="Arial" w:hAnsi="Arial" w:cs="Arial"/>
                <w:color w:val="000000" w:themeColor="text1"/>
              </w:rPr>
            </w:pPr>
            <w:r w:rsidRPr="00951E3B">
              <w:rPr>
                <w:rFonts w:ascii="Arial" w:hAnsi="Arial" w:cs="Arial"/>
                <w:color w:val="000000" w:themeColor="text1"/>
              </w:rPr>
              <w:t>wystąpienia zdarzeń nadzwyczajnych mających wpływ na funkcjonowanie danej jednostki (rozumianych jako zdarzenia, którym nie można było zapobiec przy zachowaniu należytej staranności wymaganej w ramach typowej, bieżącej działalności, które są zewnętrzne i pozostają poza kontrolą stron, jak np. zdarzenia geologiczno-górnicze uniemożliwiające tymczasowo prowadzenie działalności jednostki lub nadzwyczajne zmiany rynkowe, wpływające na działanie całego sektora); lub</w:t>
            </w:r>
          </w:p>
          <w:p w14:paraId="60EA9444" w14:textId="77777777" w:rsidR="003F500E" w:rsidRPr="00951E3B" w:rsidRDefault="003F500E" w:rsidP="00087F09">
            <w:pPr>
              <w:pStyle w:val="H6"/>
              <w:numPr>
                <w:ilvl w:val="0"/>
                <w:numId w:val="36"/>
              </w:numPr>
              <w:tabs>
                <w:tab w:val="clear" w:pos="2268"/>
                <w:tab w:val="left" w:pos="1450"/>
              </w:tabs>
              <w:ind w:left="1588" w:hanging="567"/>
              <w:rPr>
                <w:rFonts w:ascii="Arial" w:hAnsi="Arial" w:cs="Arial"/>
                <w:color w:val="000000" w:themeColor="text1"/>
              </w:rPr>
            </w:pPr>
            <w:r w:rsidRPr="00951E3B">
              <w:rPr>
                <w:rFonts w:ascii="Arial" w:hAnsi="Arial" w:cs="Arial"/>
                <w:color w:val="000000" w:themeColor="text1"/>
              </w:rPr>
              <w:t>gdy z innych powodów przekroczone zostaną ustalone poziomy odchyleń od wskaźników KWE.</w:t>
            </w:r>
          </w:p>
          <w:p w14:paraId="2246E53F" w14:textId="77777777" w:rsidR="003F500E" w:rsidRPr="00951E3B" w:rsidRDefault="003F500E" w:rsidP="003F500E">
            <w:pPr>
              <w:pStyle w:val="text1xx"/>
              <w:rPr>
                <w:rFonts w:ascii="Arial" w:hAnsi="Arial" w:cs="Arial"/>
                <w:color w:val="000000" w:themeColor="text1"/>
              </w:rPr>
            </w:pPr>
            <w:r w:rsidRPr="00951E3B">
              <w:rPr>
                <w:rFonts w:ascii="Arial" w:hAnsi="Arial" w:cs="Arial"/>
                <w:color w:val="000000" w:themeColor="text1"/>
              </w:rPr>
              <w:t>Weryfikacja nadzwyczajna będzie realizowana wg następujących zasad:</w:t>
            </w:r>
          </w:p>
          <w:p w14:paraId="14D574FC" w14:textId="78F3421A" w:rsidR="003F500E" w:rsidRPr="00951E3B" w:rsidRDefault="003F500E" w:rsidP="00087F09">
            <w:pPr>
              <w:pStyle w:val="H3"/>
              <w:numPr>
                <w:ilvl w:val="3"/>
                <w:numId w:val="28"/>
              </w:numPr>
              <w:rPr>
                <w:rFonts w:ascii="Arial" w:hAnsi="Arial" w:cs="Arial"/>
                <w:color w:val="000000" w:themeColor="text1"/>
                <w:szCs w:val="22"/>
              </w:rPr>
            </w:pPr>
            <w:r w:rsidRPr="00951E3B">
              <w:rPr>
                <w:rFonts w:ascii="Arial" w:hAnsi="Arial" w:cs="Arial"/>
                <w:color w:val="000000" w:themeColor="text1"/>
                <w:szCs w:val="22"/>
              </w:rPr>
              <w:lastRenderedPageBreak/>
              <w:t xml:space="preserve">Weryfikacja nadzwyczajna będzie dokonywana przez ARP lub </w:t>
            </w:r>
            <w:r w:rsidR="005E100C" w:rsidRPr="00951E3B">
              <w:rPr>
                <w:rFonts w:ascii="Arial" w:hAnsi="Arial" w:cs="Arial"/>
                <w:color w:val="000000" w:themeColor="text1"/>
                <w:szCs w:val="22"/>
              </w:rPr>
              <w:t xml:space="preserve">innego niezależnego eksperta branżowego wskazanego </w:t>
            </w:r>
            <w:r w:rsidRPr="00951E3B">
              <w:rPr>
                <w:rFonts w:ascii="Arial" w:hAnsi="Arial" w:cs="Arial"/>
                <w:color w:val="000000" w:themeColor="text1"/>
                <w:szCs w:val="22"/>
              </w:rPr>
              <w:t>przez Skarb Państwa, przy udziale komisji powołanej przez przedsiębiorstwo złożonej z przedstawicieli przedsiębiorcy oraz strony społecznej („Komisja”).</w:t>
            </w:r>
          </w:p>
          <w:p w14:paraId="5BF5ABE1" w14:textId="350AB5FF" w:rsidR="003F500E" w:rsidRPr="00951E3B" w:rsidRDefault="003F500E" w:rsidP="00087F09">
            <w:pPr>
              <w:pStyle w:val="H3"/>
              <w:numPr>
                <w:ilvl w:val="3"/>
                <w:numId w:val="28"/>
              </w:numPr>
              <w:rPr>
                <w:rFonts w:ascii="Arial" w:hAnsi="Arial" w:cs="Arial"/>
                <w:color w:val="000000" w:themeColor="text1"/>
                <w:szCs w:val="22"/>
              </w:rPr>
            </w:pPr>
            <w:r w:rsidRPr="00951E3B">
              <w:rPr>
                <w:rFonts w:ascii="Arial" w:hAnsi="Arial" w:cs="Arial"/>
                <w:color w:val="000000" w:themeColor="text1"/>
                <w:szCs w:val="22"/>
              </w:rPr>
              <w:t>W ramach prac analitycznych:</w:t>
            </w:r>
          </w:p>
          <w:p w14:paraId="7ACFC9C0" w14:textId="07DBFF9D" w:rsidR="003F500E" w:rsidRPr="00951E3B" w:rsidRDefault="003F500E" w:rsidP="003F500E">
            <w:pPr>
              <w:pStyle w:val="H5"/>
              <w:numPr>
                <w:ilvl w:val="4"/>
                <w:numId w:val="11"/>
              </w:numPr>
              <w:tabs>
                <w:tab w:val="clear" w:pos="1417"/>
                <w:tab w:val="clear" w:pos="3119"/>
                <w:tab w:val="num" w:pos="1701"/>
              </w:tabs>
              <w:ind w:left="1701" w:hanging="425"/>
              <w:rPr>
                <w:rFonts w:ascii="Arial" w:hAnsi="Arial" w:cs="Arial"/>
                <w:color w:val="000000" w:themeColor="text1"/>
              </w:rPr>
            </w:pPr>
            <w:r w:rsidRPr="00951E3B">
              <w:rPr>
                <w:rFonts w:ascii="Arial" w:hAnsi="Arial" w:cs="Arial"/>
                <w:color w:val="000000" w:themeColor="text1"/>
              </w:rPr>
              <w:t xml:space="preserve">Komisja we własnym zakresie, w terminach uzgodnionych z ARP (lub innym niezależnym ekspertem </w:t>
            </w:r>
            <w:r w:rsidR="0087143E" w:rsidRPr="00951E3B">
              <w:rPr>
                <w:rFonts w:ascii="Arial" w:hAnsi="Arial" w:cs="Arial"/>
                <w:color w:val="000000" w:themeColor="text1"/>
              </w:rPr>
              <w:t xml:space="preserve">branżowym </w:t>
            </w:r>
            <w:r w:rsidRPr="00951E3B">
              <w:rPr>
                <w:rFonts w:ascii="Arial" w:hAnsi="Arial" w:cs="Arial"/>
                <w:color w:val="000000" w:themeColor="text1"/>
              </w:rPr>
              <w:t>wskazanym przez Skarb Państwa) przeanalizuje sytuację jednostki, z uwzględnieniem przyczyn, które doprowadziły do weryfikacji i ich wpływu na założony model funkcjonowania jednostki określony w planie operacyjnym (w tym wpływ na KWE) oraz przygotuje program naprawczy weryfikowanej jednostki mający na celu przywrócenie KWE przyjętych dla danej jednostki w jej programie operacyjnym. W planie naprawczym Komisja przedstawi również swoją rekomendację, co do dalszego funkcjonowania jednostki i warunków z tym związanych;</w:t>
            </w:r>
          </w:p>
          <w:p w14:paraId="107BC3FD" w14:textId="273BD3E3" w:rsidR="003F500E" w:rsidRPr="00951E3B" w:rsidRDefault="003F500E" w:rsidP="003F500E">
            <w:pPr>
              <w:pStyle w:val="H5"/>
              <w:numPr>
                <w:ilvl w:val="4"/>
                <w:numId w:val="11"/>
              </w:numPr>
              <w:tabs>
                <w:tab w:val="clear" w:pos="1417"/>
                <w:tab w:val="clear" w:pos="3119"/>
                <w:tab w:val="num" w:pos="1701"/>
              </w:tabs>
              <w:ind w:left="1701" w:hanging="425"/>
              <w:rPr>
                <w:rFonts w:ascii="Arial" w:hAnsi="Arial" w:cs="Arial"/>
                <w:color w:val="000000" w:themeColor="text1"/>
              </w:rPr>
            </w:pPr>
            <w:r w:rsidRPr="00951E3B">
              <w:rPr>
                <w:rFonts w:ascii="Arial" w:hAnsi="Arial" w:cs="Arial"/>
                <w:color w:val="000000" w:themeColor="text1"/>
              </w:rPr>
              <w:t xml:space="preserve">ARP lub inny niezależny </w:t>
            </w:r>
            <w:r w:rsidR="00D44649" w:rsidRPr="00951E3B">
              <w:rPr>
                <w:rFonts w:ascii="Arial" w:hAnsi="Arial" w:cs="Arial"/>
                <w:color w:val="000000" w:themeColor="text1"/>
              </w:rPr>
              <w:t xml:space="preserve">ekspert branżowy </w:t>
            </w:r>
            <w:r w:rsidRPr="00951E3B">
              <w:rPr>
                <w:rFonts w:ascii="Arial" w:hAnsi="Arial" w:cs="Arial"/>
                <w:color w:val="000000" w:themeColor="text1"/>
              </w:rPr>
              <w:t xml:space="preserve">wskazany przez Skarb Państwa, dokona swojej analizy przyczyn, które doprowadziły do weryfikacji i ich wpływu na założony model funkcjonowania jednostki określony w planie operacyjnym (w tym wpływ na KWE) i - mając na uwadze program naprawczy przygotowany przez Komisję i jej rekomendację – przedstawi finalną rekomendację co do dalszego funkcjonowania jednostki i warunków z tym związanych. </w:t>
            </w:r>
          </w:p>
          <w:p w14:paraId="771A707D" w14:textId="433A0BD3" w:rsidR="003F500E" w:rsidRPr="00951E3B" w:rsidRDefault="003F500E" w:rsidP="00087F09">
            <w:pPr>
              <w:pStyle w:val="H3"/>
              <w:numPr>
                <w:ilvl w:val="3"/>
                <w:numId w:val="28"/>
              </w:numPr>
              <w:rPr>
                <w:rFonts w:ascii="Arial" w:hAnsi="Arial" w:cs="Arial"/>
                <w:color w:val="000000" w:themeColor="text1"/>
                <w:szCs w:val="22"/>
              </w:rPr>
            </w:pPr>
            <w:r w:rsidRPr="00951E3B">
              <w:rPr>
                <w:rFonts w:ascii="Arial" w:hAnsi="Arial" w:cs="Arial"/>
                <w:color w:val="000000" w:themeColor="text1"/>
                <w:szCs w:val="22"/>
              </w:rPr>
              <w:t>Program naprawczy weryfikowanej jednostki przygotowany przez Komisję oraz analiza wraz z rekomendacjami od ARP (lub innego niezależnego podmiotu wskazanego przez Skarb Państwa) powinny być przedstawione udzielającemu pomocy w terminie do 6 tygodni od zajścia zdarzenia nadzwyczajnego lub ustalenia przekroczenia poziomu odchyleń od wskaźników KWE.</w:t>
            </w:r>
          </w:p>
          <w:p w14:paraId="4C5A525C" w14:textId="6957F1A3" w:rsidR="003F500E" w:rsidRPr="00951E3B" w:rsidRDefault="003F500E" w:rsidP="00087F09">
            <w:pPr>
              <w:pStyle w:val="H3"/>
              <w:numPr>
                <w:ilvl w:val="3"/>
                <w:numId w:val="28"/>
              </w:numPr>
              <w:rPr>
                <w:rFonts w:ascii="Arial" w:hAnsi="Arial" w:cs="Arial"/>
                <w:color w:val="000000" w:themeColor="text1"/>
                <w:szCs w:val="22"/>
              </w:rPr>
            </w:pPr>
            <w:r w:rsidRPr="00951E3B">
              <w:rPr>
                <w:rFonts w:ascii="Arial" w:hAnsi="Arial" w:cs="Arial"/>
                <w:color w:val="000000" w:themeColor="text1"/>
                <w:szCs w:val="22"/>
              </w:rPr>
              <w:t xml:space="preserve">W zależności od zidentyfikowanych przyczyn sytuacji i rekomendacji finalnej oraz z uwzględnieniem pozostałych elementów (w tym bezpieczeństwa energetycznego i czynnika społecznego), podejmowana będzie przez udzielającego pomocy publicznej decyzja o: </w:t>
            </w:r>
          </w:p>
          <w:p w14:paraId="40168371" w14:textId="3D3C696E" w:rsidR="003F500E" w:rsidRPr="00951E3B" w:rsidRDefault="003F500E" w:rsidP="00087F09">
            <w:pPr>
              <w:pStyle w:val="H6"/>
              <w:numPr>
                <w:ilvl w:val="5"/>
                <w:numId w:val="11"/>
              </w:numPr>
              <w:tabs>
                <w:tab w:val="clear" w:pos="1417"/>
                <w:tab w:val="clear" w:pos="3119"/>
                <w:tab w:val="num" w:pos="2297"/>
              </w:tabs>
              <w:ind w:left="1730" w:hanging="425"/>
              <w:rPr>
                <w:rFonts w:ascii="Arial" w:hAnsi="Arial" w:cs="Arial"/>
                <w:color w:val="000000" w:themeColor="text1"/>
              </w:rPr>
            </w:pPr>
            <w:r w:rsidRPr="00951E3B">
              <w:rPr>
                <w:rFonts w:ascii="Arial" w:hAnsi="Arial" w:cs="Arial"/>
                <w:color w:val="000000" w:themeColor="text1"/>
              </w:rPr>
              <w:t xml:space="preserve">wdrożeniu planu naprawczego, zaproponowanego przez Komisję lub zmodyfikowanego zgodnie rekomendacją ARP (lub innego niezależnego </w:t>
            </w:r>
            <w:r w:rsidR="00F16ACB" w:rsidRPr="00951E3B">
              <w:rPr>
                <w:rFonts w:ascii="Arial" w:hAnsi="Arial" w:cs="Arial"/>
                <w:color w:val="000000" w:themeColor="text1"/>
              </w:rPr>
              <w:t xml:space="preserve">eksperta branżowego </w:t>
            </w:r>
            <w:r w:rsidRPr="00951E3B">
              <w:rPr>
                <w:rFonts w:ascii="Arial" w:hAnsi="Arial" w:cs="Arial"/>
                <w:color w:val="000000" w:themeColor="text1"/>
              </w:rPr>
              <w:t>wskazanego przez Skarb Państwa), w terminie maksymalnie 12 miesięcy; albo</w:t>
            </w:r>
          </w:p>
          <w:p w14:paraId="3ABD4EBB" w14:textId="2A1DEEF1" w:rsidR="003F500E" w:rsidRPr="00951E3B" w:rsidRDefault="003F500E" w:rsidP="00087F09">
            <w:pPr>
              <w:pStyle w:val="H6"/>
              <w:numPr>
                <w:ilvl w:val="5"/>
                <w:numId w:val="11"/>
              </w:numPr>
              <w:tabs>
                <w:tab w:val="clear" w:pos="1417"/>
                <w:tab w:val="clear" w:pos="3119"/>
                <w:tab w:val="num" w:pos="2297"/>
              </w:tabs>
              <w:ind w:left="1730" w:hanging="425"/>
              <w:rPr>
                <w:rFonts w:ascii="Arial" w:hAnsi="Arial" w:cs="Arial"/>
                <w:color w:val="000000" w:themeColor="text1"/>
              </w:rPr>
            </w:pPr>
            <w:r w:rsidRPr="00951E3B">
              <w:rPr>
                <w:rFonts w:ascii="Arial" w:hAnsi="Arial" w:cs="Arial"/>
                <w:color w:val="000000" w:themeColor="text1"/>
              </w:rPr>
              <w:t>likwidacji jednostki, jeżeli przed lub w trakcie procesu naprawczego lub analiz jednostka nie będzie rokowała powrotu do wskaźników KWE w racjonalnie uzasadnionym terminie.</w:t>
            </w:r>
          </w:p>
          <w:p w14:paraId="279E4CB8" w14:textId="6802578D" w:rsidR="000A7AC8" w:rsidRPr="00951E3B" w:rsidRDefault="000A7AC8" w:rsidP="000A7AC8">
            <w:pPr>
              <w:pStyle w:val="H2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951E3B">
              <w:rPr>
                <w:rFonts w:ascii="Arial" w:hAnsi="Arial" w:cs="Arial"/>
                <w:b/>
                <w:color w:val="000000" w:themeColor="text1"/>
                <w:szCs w:val="22"/>
              </w:rPr>
              <w:t>Aplikowanie</w:t>
            </w:r>
            <w:r w:rsidR="00603127" w:rsidRPr="00951E3B"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 o</w:t>
            </w:r>
            <w:r w:rsidRPr="00951E3B"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 </w:t>
            </w:r>
            <w:r w:rsidR="00754C26" w:rsidRPr="00951E3B"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dopłaty </w:t>
            </w:r>
            <w:r w:rsidRPr="00951E3B"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i rozliczanie dopłat do redukcji zdolności produkcyjnych </w:t>
            </w:r>
          </w:p>
          <w:p w14:paraId="69CC958D" w14:textId="465EF864" w:rsidR="000A7AC8" w:rsidRPr="00951E3B" w:rsidRDefault="00BA6221" w:rsidP="000A7AC8">
            <w:pPr>
              <w:pStyle w:val="H3"/>
              <w:rPr>
                <w:rFonts w:ascii="Arial" w:hAnsi="Arial" w:cs="Arial"/>
                <w:color w:val="000000" w:themeColor="text1"/>
                <w:szCs w:val="22"/>
              </w:rPr>
            </w:pPr>
            <w:r w:rsidRPr="00951E3B">
              <w:rPr>
                <w:rFonts w:ascii="Arial" w:hAnsi="Arial" w:cs="Arial"/>
                <w:color w:val="000000" w:themeColor="text1"/>
                <w:szCs w:val="22"/>
              </w:rPr>
              <w:lastRenderedPageBreak/>
              <w:t xml:space="preserve">Aktualnie tego rodzaju dopłaty nie są stosowane, dlatego konieczne </w:t>
            </w:r>
            <w:r w:rsidR="0057147A" w:rsidRPr="00951E3B">
              <w:rPr>
                <w:rFonts w:ascii="Arial" w:hAnsi="Arial" w:cs="Arial"/>
                <w:color w:val="000000" w:themeColor="text1"/>
                <w:szCs w:val="22"/>
              </w:rPr>
              <w:t>będą</w:t>
            </w:r>
            <w:r w:rsidRPr="00951E3B">
              <w:rPr>
                <w:rFonts w:ascii="Arial" w:hAnsi="Arial" w:cs="Arial"/>
                <w:color w:val="000000" w:themeColor="text1"/>
                <w:szCs w:val="22"/>
              </w:rPr>
              <w:t xml:space="preserve"> zmiany legislacyjne</w:t>
            </w:r>
            <w:r w:rsidR="000A7AC8" w:rsidRPr="00951E3B">
              <w:rPr>
                <w:rFonts w:ascii="Arial" w:hAnsi="Arial" w:cs="Arial"/>
                <w:color w:val="000000" w:themeColor="text1"/>
                <w:szCs w:val="22"/>
              </w:rPr>
              <w:t xml:space="preserve"> w </w:t>
            </w:r>
            <w:r w:rsidR="00603127" w:rsidRPr="00951E3B">
              <w:rPr>
                <w:rFonts w:ascii="Arial" w:hAnsi="Arial" w:cs="Arial"/>
                <w:color w:val="000000" w:themeColor="text1"/>
                <w:szCs w:val="22"/>
              </w:rPr>
              <w:t>Ust</w:t>
            </w:r>
            <w:r w:rsidR="000A7AC8" w:rsidRPr="00951E3B">
              <w:rPr>
                <w:rFonts w:ascii="Arial" w:hAnsi="Arial" w:cs="Arial"/>
                <w:color w:val="000000" w:themeColor="text1"/>
                <w:szCs w:val="22"/>
              </w:rPr>
              <w:t xml:space="preserve">awie </w:t>
            </w:r>
            <w:r w:rsidR="00603127" w:rsidRPr="00951E3B">
              <w:rPr>
                <w:rFonts w:ascii="Arial" w:hAnsi="Arial" w:cs="Arial"/>
                <w:color w:val="000000" w:themeColor="text1"/>
                <w:szCs w:val="22"/>
              </w:rPr>
              <w:t>o</w:t>
            </w:r>
            <w:r w:rsidR="000A7AC8" w:rsidRPr="00951E3B">
              <w:rPr>
                <w:rFonts w:ascii="Arial" w:hAnsi="Arial" w:cs="Arial"/>
                <w:color w:val="000000" w:themeColor="text1"/>
                <w:szCs w:val="22"/>
              </w:rPr>
              <w:t>raz wydanie odpowiedniego rozporządzenia regulującego procedurę aplikowania i rozliczania d</w:t>
            </w:r>
            <w:r w:rsidR="000763CB" w:rsidRPr="00951E3B">
              <w:rPr>
                <w:rFonts w:ascii="Arial" w:hAnsi="Arial" w:cs="Arial"/>
                <w:color w:val="000000" w:themeColor="text1"/>
                <w:szCs w:val="22"/>
              </w:rPr>
              <w:t>opłat</w:t>
            </w:r>
            <w:r w:rsidRPr="00951E3B">
              <w:rPr>
                <w:rFonts w:ascii="Arial" w:hAnsi="Arial" w:cs="Arial"/>
                <w:color w:val="000000" w:themeColor="text1"/>
                <w:szCs w:val="22"/>
              </w:rPr>
              <w:t xml:space="preserve">. </w:t>
            </w:r>
          </w:p>
          <w:p w14:paraId="43E81793" w14:textId="601AB931" w:rsidR="0014746B" w:rsidRPr="00951E3B" w:rsidRDefault="005F0F7F" w:rsidP="000A7AC8">
            <w:pPr>
              <w:pStyle w:val="H3"/>
              <w:rPr>
                <w:rFonts w:ascii="Arial" w:hAnsi="Arial" w:cs="Arial"/>
                <w:color w:val="000000" w:themeColor="text1"/>
                <w:szCs w:val="22"/>
              </w:rPr>
            </w:pPr>
            <w:r w:rsidRPr="00951E3B">
              <w:rPr>
                <w:rFonts w:ascii="Arial" w:hAnsi="Arial" w:cs="Arial"/>
                <w:color w:val="000000" w:themeColor="text1"/>
                <w:szCs w:val="22"/>
              </w:rPr>
              <w:t>Zakłada się, że d</w:t>
            </w:r>
            <w:r w:rsidR="00E428B7" w:rsidRPr="00951E3B">
              <w:rPr>
                <w:rFonts w:ascii="Arial" w:hAnsi="Arial" w:cs="Arial"/>
                <w:color w:val="000000" w:themeColor="text1"/>
                <w:szCs w:val="22"/>
              </w:rPr>
              <w:t xml:space="preserve">opłata do redukcji zdolności produkcyjnych </w:t>
            </w:r>
            <w:r w:rsidR="0014746B" w:rsidRPr="00951E3B">
              <w:rPr>
                <w:rFonts w:ascii="Arial" w:hAnsi="Arial" w:cs="Arial"/>
                <w:color w:val="000000" w:themeColor="text1"/>
                <w:szCs w:val="22"/>
              </w:rPr>
              <w:t>b</w:t>
            </w:r>
            <w:r w:rsidR="000A7AC8" w:rsidRPr="00951E3B">
              <w:rPr>
                <w:rFonts w:ascii="Arial" w:hAnsi="Arial" w:cs="Arial"/>
                <w:color w:val="000000" w:themeColor="text1"/>
                <w:szCs w:val="22"/>
              </w:rPr>
              <w:t>ędzie</w:t>
            </w:r>
            <w:r w:rsidR="00E428B7" w:rsidRPr="00951E3B">
              <w:rPr>
                <w:rFonts w:ascii="Arial" w:hAnsi="Arial" w:cs="Arial"/>
                <w:color w:val="000000" w:themeColor="text1"/>
                <w:szCs w:val="22"/>
              </w:rPr>
              <w:t xml:space="preserve"> </w:t>
            </w:r>
            <w:r w:rsidR="005067A7" w:rsidRPr="00951E3B">
              <w:rPr>
                <w:rFonts w:ascii="Arial" w:hAnsi="Arial" w:cs="Arial"/>
                <w:color w:val="000000" w:themeColor="text1"/>
                <w:szCs w:val="22"/>
              </w:rPr>
              <w:t>finansowana z</w:t>
            </w:r>
            <w:r w:rsidR="000A7AC8" w:rsidRPr="00951E3B">
              <w:rPr>
                <w:rFonts w:ascii="Arial" w:hAnsi="Arial" w:cs="Arial"/>
                <w:color w:val="000000" w:themeColor="text1"/>
                <w:szCs w:val="22"/>
              </w:rPr>
              <w:t xml:space="preserve"> dotacj</w:t>
            </w:r>
            <w:r w:rsidR="005067A7" w:rsidRPr="00951E3B">
              <w:rPr>
                <w:rFonts w:ascii="Arial" w:hAnsi="Arial" w:cs="Arial"/>
                <w:color w:val="000000" w:themeColor="text1"/>
                <w:szCs w:val="22"/>
              </w:rPr>
              <w:t>i</w:t>
            </w:r>
            <w:r w:rsidR="0010248E" w:rsidRPr="00951E3B">
              <w:rPr>
                <w:rFonts w:ascii="Arial" w:hAnsi="Arial" w:cs="Arial"/>
                <w:color w:val="000000" w:themeColor="text1"/>
                <w:szCs w:val="22"/>
              </w:rPr>
              <w:t xml:space="preserve"> </w:t>
            </w:r>
            <w:r w:rsidR="005067A7" w:rsidRPr="00951E3B">
              <w:rPr>
                <w:rFonts w:ascii="Arial" w:hAnsi="Arial" w:cs="Arial"/>
                <w:color w:val="000000" w:themeColor="text1"/>
                <w:szCs w:val="22"/>
              </w:rPr>
              <w:t>z budżetu państwa,</w:t>
            </w:r>
            <w:r w:rsidR="000A7AC8" w:rsidRPr="00951E3B">
              <w:rPr>
                <w:rFonts w:ascii="Arial" w:hAnsi="Arial" w:cs="Arial"/>
                <w:color w:val="000000" w:themeColor="text1"/>
                <w:szCs w:val="22"/>
              </w:rPr>
              <w:t xml:space="preserve"> </w:t>
            </w:r>
            <w:r w:rsidR="00E428B7" w:rsidRPr="00951E3B">
              <w:rPr>
                <w:rFonts w:ascii="Arial" w:hAnsi="Arial" w:cs="Arial"/>
                <w:color w:val="000000" w:themeColor="text1"/>
                <w:szCs w:val="22"/>
              </w:rPr>
              <w:t>przyznawan</w:t>
            </w:r>
            <w:r w:rsidR="000763CB" w:rsidRPr="00951E3B">
              <w:rPr>
                <w:rFonts w:ascii="Arial" w:hAnsi="Arial" w:cs="Arial"/>
                <w:color w:val="000000" w:themeColor="text1"/>
                <w:szCs w:val="22"/>
              </w:rPr>
              <w:t>ą</w:t>
            </w:r>
            <w:r w:rsidR="00E428B7" w:rsidRPr="00951E3B">
              <w:rPr>
                <w:rFonts w:ascii="Arial" w:hAnsi="Arial" w:cs="Arial"/>
                <w:color w:val="000000" w:themeColor="text1"/>
                <w:szCs w:val="22"/>
              </w:rPr>
              <w:t xml:space="preserve"> </w:t>
            </w:r>
            <w:r w:rsidR="005067A7" w:rsidRPr="00951E3B">
              <w:rPr>
                <w:rFonts w:ascii="Arial" w:hAnsi="Arial" w:cs="Arial"/>
                <w:color w:val="000000" w:themeColor="text1"/>
                <w:szCs w:val="22"/>
              </w:rPr>
              <w:t xml:space="preserve">na podstawie umowy o przyznanie dotacji na dany rok budżetowy, a wypłacana </w:t>
            </w:r>
            <w:r w:rsidR="00E428B7" w:rsidRPr="00951E3B">
              <w:rPr>
                <w:rFonts w:ascii="Arial" w:hAnsi="Arial" w:cs="Arial"/>
                <w:color w:val="000000" w:themeColor="text1"/>
                <w:szCs w:val="22"/>
              </w:rPr>
              <w:t xml:space="preserve">w oparciu o składane </w:t>
            </w:r>
            <w:r w:rsidR="005067A7" w:rsidRPr="00951E3B">
              <w:rPr>
                <w:rFonts w:ascii="Arial" w:hAnsi="Arial" w:cs="Arial"/>
                <w:color w:val="000000" w:themeColor="text1"/>
                <w:szCs w:val="22"/>
              </w:rPr>
              <w:t>co miesiąc</w:t>
            </w:r>
            <w:r w:rsidR="00E428B7" w:rsidRPr="00951E3B">
              <w:rPr>
                <w:rFonts w:ascii="Arial" w:hAnsi="Arial" w:cs="Arial"/>
                <w:color w:val="000000" w:themeColor="text1"/>
                <w:szCs w:val="22"/>
              </w:rPr>
              <w:t xml:space="preserve"> do </w:t>
            </w:r>
            <w:r w:rsidR="000763CB" w:rsidRPr="00951E3B">
              <w:rPr>
                <w:rFonts w:ascii="Arial" w:hAnsi="Arial" w:cs="Arial"/>
                <w:color w:val="000000" w:themeColor="text1"/>
                <w:szCs w:val="22"/>
              </w:rPr>
              <w:t xml:space="preserve">ministra </w:t>
            </w:r>
            <w:r w:rsidR="00E428B7" w:rsidRPr="00951E3B">
              <w:rPr>
                <w:rFonts w:ascii="Arial" w:hAnsi="Arial" w:cs="Arial"/>
                <w:color w:val="000000" w:themeColor="text1"/>
                <w:szCs w:val="22"/>
              </w:rPr>
              <w:t xml:space="preserve">wnioski o </w:t>
            </w:r>
            <w:r w:rsidR="005067A7" w:rsidRPr="00951E3B">
              <w:rPr>
                <w:rFonts w:ascii="Arial" w:hAnsi="Arial" w:cs="Arial"/>
                <w:color w:val="000000" w:themeColor="text1"/>
                <w:szCs w:val="22"/>
              </w:rPr>
              <w:t>wypłatę transzy dotacji</w:t>
            </w:r>
            <w:r w:rsidR="00E428B7" w:rsidRPr="00951E3B">
              <w:rPr>
                <w:rFonts w:ascii="Arial" w:hAnsi="Arial" w:cs="Arial"/>
                <w:color w:val="000000" w:themeColor="text1"/>
                <w:szCs w:val="22"/>
              </w:rPr>
              <w:t xml:space="preserve"> przez przedsiębiorstwo </w:t>
            </w:r>
            <w:r w:rsidR="00603127" w:rsidRPr="00951E3B">
              <w:rPr>
                <w:rFonts w:ascii="Arial" w:hAnsi="Arial" w:cs="Arial"/>
                <w:color w:val="000000" w:themeColor="text1"/>
                <w:szCs w:val="22"/>
              </w:rPr>
              <w:t>wdrażające system wsparcia górnictwa węgla kamiennego</w:t>
            </w:r>
            <w:r w:rsidR="0014746B" w:rsidRPr="00951E3B">
              <w:rPr>
                <w:rFonts w:ascii="Arial" w:hAnsi="Arial" w:cs="Arial"/>
                <w:color w:val="000000" w:themeColor="text1"/>
                <w:szCs w:val="22"/>
              </w:rPr>
              <w:t>, podobnie jak miało to miejsce w przypadku dopłat do produkcji udzielanych w przeszłości na bazie rozporządzenia Ministra Gospodarki z dn. 10 kwietnia 2015r. w sprawie dotacje budżetowych przeznaczonych na finansowanie jednorazowych odpraw pieniężnych oraz na pokrycie bieżących strat produkcyjnych przedsiębiorstwa (Dz.U. 2015 poz. 510).</w:t>
            </w:r>
          </w:p>
          <w:p w14:paraId="78261F24" w14:textId="504097E4" w:rsidR="0014746B" w:rsidRPr="00951E3B" w:rsidRDefault="000763CB" w:rsidP="000763CB">
            <w:pPr>
              <w:pStyle w:val="H3"/>
              <w:rPr>
                <w:rFonts w:ascii="Arial" w:hAnsi="Arial" w:cs="Arial"/>
                <w:color w:val="000000" w:themeColor="text1"/>
                <w:szCs w:val="22"/>
              </w:rPr>
            </w:pPr>
            <w:r w:rsidRPr="00951E3B">
              <w:rPr>
                <w:rFonts w:ascii="Arial" w:hAnsi="Arial" w:cs="Arial"/>
                <w:color w:val="000000" w:themeColor="text1"/>
                <w:szCs w:val="22"/>
              </w:rPr>
              <w:t>Ś</w:t>
            </w:r>
            <w:r w:rsidR="00BA6221" w:rsidRPr="00951E3B">
              <w:rPr>
                <w:rFonts w:ascii="Arial" w:hAnsi="Arial" w:cs="Arial"/>
                <w:color w:val="000000" w:themeColor="text1"/>
                <w:szCs w:val="22"/>
              </w:rPr>
              <w:t xml:space="preserve">rodki przekazywane </w:t>
            </w:r>
            <w:r w:rsidRPr="00951E3B">
              <w:rPr>
                <w:rFonts w:ascii="Arial" w:hAnsi="Arial" w:cs="Arial"/>
                <w:color w:val="000000" w:themeColor="text1"/>
                <w:szCs w:val="22"/>
              </w:rPr>
              <w:t>będą</w:t>
            </w:r>
            <w:r w:rsidR="00BA6221" w:rsidRPr="00951E3B">
              <w:rPr>
                <w:rFonts w:ascii="Arial" w:hAnsi="Arial" w:cs="Arial"/>
                <w:color w:val="000000" w:themeColor="text1"/>
                <w:szCs w:val="22"/>
              </w:rPr>
              <w:t xml:space="preserve"> przez ministra, w </w:t>
            </w:r>
            <w:r w:rsidR="005067A7" w:rsidRPr="00951E3B">
              <w:rPr>
                <w:rFonts w:ascii="Arial" w:hAnsi="Arial" w:cs="Arial"/>
                <w:color w:val="000000" w:themeColor="text1"/>
                <w:szCs w:val="22"/>
              </w:rPr>
              <w:t>transzach</w:t>
            </w:r>
            <w:r w:rsidR="00BA6221" w:rsidRPr="00951E3B">
              <w:rPr>
                <w:rFonts w:ascii="Arial" w:hAnsi="Arial" w:cs="Arial"/>
                <w:color w:val="000000" w:themeColor="text1"/>
                <w:szCs w:val="22"/>
              </w:rPr>
              <w:t xml:space="preserve"> miesięcznych na specjalnie wyodrębniony przez przedsiębiorstwo </w:t>
            </w:r>
            <w:r w:rsidR="001954C1" w:rsidRPr="00951E3B">
              <w:rPr>
                <w:rFonts w:ascii="Arial" w:hAnsi="Arial" w:cs="Arial"/>
                <w:color w:val="000000" w:themeColor="text1"/>
                <w:szCs w:val="22"/>
              </w:rPr>
              <w:t xml:space="preserve">objęte Systemem Wsparcia </w:t>
            </w:r>
            <w:r w:rsidR="00BA6221" w:rsidRPr="00951E3B">
              <w:rPr>
                <w:rFonts w:ascii="Arial" w:hAnsi="Arial" w:cs="Arial"/>
                <w:color w:val="000000" w:themeColor="text1"/>
                <w:szCs w:val="22"/>
              </w:rPr>
              <w:t>na ten cel rachunk</w:t>
            </w:r>
            <w:r w:rsidR="005067A7" w:rsidRPr="00951E3B">
              <w:rPr>
                <w:rFonts w:ascii="Arial" w:hAnsi="Arial" w:cs="Arial"/>
                <w:color w:val="000000" w:themeColor="text1"/>
                <w:szCs w:val="22"/>
              </w:rPr>
              <w:t>i</w:t>
            </w:r>
            <w:r w:rsidR="00BA6221" w:rsidRPr="00951E3B">
              <w:rPr>
                <w:rFonts w:ascii="Arial" w:hAnsi="Arial" w:cs="Arial"/>
                <w:color w:val="000000" w:themeColor="text1"/>
                <w:szCs w:val="22"/>
              </w:rPr>
              <w:t xml:space="preserve"> bankow</w:t>
            </w:r>
            <w:r w:rsidR="005067A7" w:rsidRPr="00951E3B">
              <w:rPr>
                <w:rFonts w:ascii="Arial" w:hAnsi="Arial" w:cs="Arial"/>
                <w:color w:val="000000" w:themeColor="text1"/>
                <w:szCs w:val="22"/>
              </w:rPr>
              <w:t>e dla każdej jednostki produkcyjnej</w:t>
            </w:r>
            <w:r w:rsidRPr="00951E3B">
              <w:rPr>
                <w:rFonts w:ascii="Arial" w:hAnsi="Arial" w:cs="Arial"/>
                <w:color w:val="000000" w:themeColor="text1"/>
                <w:szCs w:val="22"/>
              </w:rPr>
              <w:t>.</w:t>
            </w:r>
            <w:r w:rsidR="0010248E" w:rsidRPr="00951E3B">
              <w:rPr>
                <w:rFonts w:ascii="Arial" w:hAnsi="Arial" w:cs="Arial"/>
                <w:color w:val="000000" w:themeColor="text1"/>
                <w:szCs w:val="22"/>
              </w:rPr>
              <w:t xml:space="preserve"> </w:t>
            </w:r>
          </w:p>
          <w:p w14:paraId="4487C714" w14:textId="47E4FD48" w:rsidR="00BA6221" w:rsidRPr="00951E3B" w:rsidRDefault="000763CB" w:rsidP="000763CB">
            <w:pPr>
              <w:pStyle w:val="H3"/>
              <w:rPr>
                <w:rFonts w:ascii="Arial" w:hAnsi="Arial" w:cs="Arial"/>
                <w:color w:val="000000" w:themeColor="text1"/>
                <w:szCs w:val="22"/>
              </w:rPr>
            </w:pPr>
            <w:r w:rsidRPr="00951E3B">
              <w:rPr>
                <w:rFonts w:ascii="Arial" w:hAnsi="Arial" w:cs="Arial"/>
                <w:color w:val="000000" w:themeColor="text1"/>
                <w:szCs w:val="22"/>
              </w:rPr>
              <w:t>D</w:t>
            </w:r>
            <w:r w:rsidR="00BA6221" w:rsidRPr="00951E3B">
              <w:rPr>
                <w:rFonts w:ascii="Arial" w:hAnsi="Arial" w:cs="Arial"/>
                <w:color w:val="000000" w:themeColor="text1"/>
                <w:szCs w:val="22"/>
              </w:rPr>
              <w:t xml:space="preserve">o </w:t>
            </w:r>
            <w:r w:rsidR="005F0F7F" w:rsidRPr="00951E3B">
              <w:rPr>
                <w:rFonts w:ascii="Arial" w:hAnsi="Arial" w:cs="Arial"/>
                <w:color w:val="000000" w:themeColor="text1"/>
                <w:szCs w:val="22"/>
              </w:rPr>
              <w:t xml:space="preserve">odpowiednich </w:t>
            </w:r>
            <w:r w:rsidR="00BA6221" w:rsidRPr="00951E3B">
              <w:rPr>
                <w:rFonts w:ascii="Arial" w:hAnsi="Arial" w:cs="Arial"/>
                <w:color w:val="000000" w:themeColor="text1"/>
                <w:szCs w:val="22"/>
              </w:rPr>
              <w:t>wniosk</w:t>
            </w:r>
            <w:r w:rsidR="005F0F7F" w:rsidRPr="00951E3B">
              <w:rPr>
                <w:rFonts w:ascii="Arial" w:hAnsi="Arial" w:cs="Arial"/>
                <w:color w:val="000000" w:themeColor="text1"/>
                <w:szCs w:val="22"/>
              </w:rPr>
              <w:t xml:space="preserve">ów </w:t>
            </w:r>
            <w:r w:rsidR="00BA6221" w:rsidRPr="00951E3B">
              <w:rPr>
                <w:rFonts w:ascii="Arial" w:hAnsi="Arial" w:cs="Arial"/>
                <w:color w:val="000000" w:themeColor="text1"/>
                <w:szCs w:val="22"/>
              </w:rPr>
              <w:t xml:space="preserve">dołączane </w:t>
            </w:r>
            <w:r w:rsidRPr="00951E3B">
              <w:rPr>
                <w:rFonts w:ascii="Arial" w:hAnsi="Arial" w:cs="Arial"/>
                <w:color w:val="000000" w:themeColor="text1"/>
                <w:szCs w:val="22"/>
              </w:rPr>
              <w:t>będą</w:t>
            </w:r>
            <w:r w:rsidR="00BA6221" w:rsidRPr="00951E3B">
              <w:rPr>
                <w:rFonts w:ascii="Arial" w:hAnsi="Arial" w:cs="Arial"/>
                <w:color w:val="000000" w:themeColor="text1"/>
                <w:szCs w:val="22"/>
              </w:rPr>
              <w:t xml:space="preserve"> </w:t>
            </w:r>
            <w:r w:rsidR="0014746B" w:rsidRPr="00951E3B">
              <w:rPr>
                <w:rFonts w:ascii="Arial" w:hAnsi="Arial" w:cs="Arial"/>
                <w:color w:val="000000" w:themeColor="text1"/>
                <w:szCs w:val="22"/>
              </w:rPr>
              <w:t>rozliczeni</w:t>
            </w:r>
            <w:r w:rsidRPr="00951E3B">
              <w:rPr>
                <w:rFonts w:ascii="Arial" w:hAnsi="Arial" w:cs="Arial"/>
                <w:color w:val="000000" w:themeColor="text1"/>
                <w:szCs w:val="22"/>
              </w:rPr>
              <w:t>a</w:t>
            </w:r>
            <w:r w:rsidR="0014746B" w:rsidRPr="00951E3B"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 </w:t>
            </w:r>
            <w:r w:rsidR="0014746B" w:rsidRPr="00951E3B">
              <w:rPr>
                <w:rFonts w:ascii="Arial" w:hAnsi="Arial" w:cs="Arial"/>
                <w:color w:val="000000" w:themeColor="text1"/>
                <w:szCs w:val="22"/>
              </w:rPr>
              <w:t xml:space="preserve">z wykorzystania środków za poprzedni </w:t>
            </w:r>
            <w:r w:rsidR="005F0F7F" w:rsidRPr="00951E3B">
              <w:rPr>
                <w:rFonts w:ascii="Arial" w:hAnsi="Arial" w:cs="Arial"/>
                <w:color w:val="000000" w:themeColor="text1"/>
                <w:szCs w:val="22"/>
              </w:rPr>
              <w:t>okres</w:t>
            </w:r>
            <w:r w:rsidRPr="00951E3B">
              <w:rPr>
                <w:rFonts w:ascii="Arial" w:hAnsi="Arial" w:cs="Arial"/>
                <w:color w:val="000000" w:themeColor="text1"/>
                <w:szCs w:val="22"/>
              </w:rPr>
              <w:t>.</w:t>
            </w:r>
            <w:r w:rsidR="00BA15EE" w:rsidRPr="00951E3B">
              <w:rPr>
                <w:rFonts w:ascii="Arial" w:hAnsi="Arial" w:cs="Arial"/>
                <w:color w:val="000000" w:themeColor="text1"/>
                <w:szCs w:val="22"/>
              </w:rPr>
              <w:t xml:space="preserve"> </w:t>
            </w:r>
          </w:p>
          <w:p w14:paraId="410DDFE1" w14:textId="77777777" w:rsidR="00BA15EE" w:rsidRPr="00951E3B" w:rsidRDefault="000763CB" w:rsidP="000763CB">
            <w:pPr>
              <w:pStyle w:val="H3"/>
              <w:rPr>
                <w:rFonts w:ascii="Arial" w:hAnsi="Arial" w:cs="Arial"/>
                <w:color w:val="000000" w:themeColor="text1"/>
                <w:szCs w:val="22"/>
              </w:rPr>
            </w:pPr>
            <w:r w:rsidRPr="00951E3B">
              <w:rPr>
                <w:rFonts w:ascii="Arial" w:hAnsi="Arial" w:cs="Arial"/>
                <w:color w:val="000000" w:themeColor="text1"/>
                <w:szCs w:val="22"/>
              </w:rPr>
              <w:t>P</w:t>
            </w:r>
            <w:r w:rsidR="0014746B" w:rsidRPr="00951E3B">
              <w:rPr>
                <w:rFonts w:ascii="Arial" w:hAnsi="Arial" w:cs="Arial"/>
                <w:color w:val="000000" w:themeColor="text1"/>
                <w:szCs w:val="22"/>
              </w:rPr>
              <w:t xml:space="preserve">rzedsiębiorstwo otrzymujące środki </w:t>
            </w:r>
            <w:r w:rsidR="00BA6221" w:rsidRPr="00951E3B">
              <w:rPr>
                <w:rFonts w:ascii="Arial" w:hAnsi="Arial" w:cs="Arial"/>
                <w:color w:val="000000" w:themeColor="text1"/>
                <w:szCs w:val="22"/>
              </w:rPr>
              <w:t xml:space="preserve">zobowiązane </w:t>
            </w:r>
            <w:r w:rsidRPr="00951E3B">
              <w:rPr>
                <w:rFonts w:ascii="Arial" w:hAnsi="Arial" w:cs="Arial"/>
                <w:color w:val="000000" w:themeColor="text1"/>
                <w:szCs w:val="22"/>
              </w:rPr>
              <w:t>będzie</w:t>
            </w:r>
            <w:r w:rsidR="00BA6221" w:rsidRPr="00951E3B">
              <w:rPr>
                <w:rFonts w:ascii="Arial" w:hAnsi="Arial" w:cs="Arial"/>
                <w:color w:val="000000" w:themeColor="text1"/>
                <w:szCs w:val="22"/>
              </w:rPr>
              <w:t xml:space="preserve"> do s</w:t>
            </w:r>
            <w:r w:rsidR="0014746B" w:rsidRPr="00951E3B">
              <w:rPr>
                <w:rFonts w:ascii="Arial" w:hAnsi="Arial" w:cs="Arial"/>
                <w:color w:val="000000" w:themeColor="text1"/>
                <w:szCs w:val="22"/>
              </w:rPr>
              <w:t>kłada</w:t>
            </w:r>
            <w:r w:rsidR="00BA6221" w:rsidRPr="00951E3B">
              <w:rPr>
                <w:rFonts w:ascii="Arial" w:hAnsi="Arial" w:cs="Arial"/>
                <w:color w:val="000000" w:themeColor="text1"/>
                <w:szCs w:val="22"/>
              </w:rPr>
              <w:t>nia</w:t>
            </w:r>
            <w:r w:rsidR="0014746B" w:rsidRPr="00951E3B">
              <w:rPr>
                <w:rFonts w:ascii="Arial" w:hAnsi="Arial" w:cs="Arial"/>
                <w:color w:val="000000" w:themeColor="text1"/>
                <w:szCs w:val="22"/>
              </w:rPr>
              <w:t xml:space="preserve"> ministrowi </w:t>
            </w:r>
            <w:r w:rsidR="00BA15EE" w:rsidRPr="00951E3B">
              <w:rPr>
                <w:rFonts w:ascii="Arial" w:hAnsi="Arial" w:cs="Arial"/>
                <w:color w:val="000000" w:themeColor="text1"/>
                <w:szCs w:val="22"/>
              </w:rPr>
              <w:t>także rocznych rozliczeń otrzymanych dopłat.</w:t>
            </w:r>
          </w:p>
          <w:p w14:paraId="343FA8FE" w14:textId="3C9D48C7" w:rsidR="00750596" w:rsidRPr="00951E3B" w:rsidRDefault="00750596" w:rsidP="000763CB">
            <w:pPr>
              <w:pStyle w:val="H3"/>
              <w:rPr>
                <w:rFonts w:ascii="Arial" w:hAnsi="Arial" w:cs="Arial"/>
                <w:color w:val="000000" w:themeColor="text1"/>
                <w:szCs w:val="22"/>
              </w:rPr>
            </w:pPr>
            <w:r w:rsidRPr="00951E3B">
              <w:rPr>
                <w:rFonts w:ascii="Arial" w:hAnsi="Arial" w:cs="Arial"/>
                <w:color w:val="000000" w:themeColor="text1"/>
                <w:szCs w:val="22"/>
              </w:rPr>
              <w:t>W przypadku niezłożenia rozliczeń</w:t>
            </w:r>
            <w:r w:rsidR="005067A7" w:rsidRPr="00951E3B">
              <w:rPr>
                <w:rFonts w:ascii="Arial" w:hAnsi="Arial" w:cs="Arial"/>
                <w:color w:val="000000" w:themeColor="text1"/>
                <w:szCs w:val="22"/>
              </w:rPr>
              <w:t xml:space="preserve"> miesięcznych</w:t>
            </w:r>
            <w:r w:rsidRPr="00951E3B">
              <w:rPr>
                <w:rFonts w:ascii="Arial" w:hAnsi="Arial" w:cs="Arial"/>
                <w:color w:val="000000" w:themeColor="text1"/>
                <w:szCs w:val="22"/>
              </w:rPr>
              <w:t xml:space="preserve"> w terminie, nastąpi czasowe wstrzymanie dopłat</w:t>
            </w:r>
            <w:r w:rsidR="005067A7" w:rsidRPr="00951E3B">
              <w:rPr>
                <w:rFonts w:ascii="Arial" w:hAnsi="Arial" w:cs="Arial"/>
                <w:color w:val="000000" w:themeColor="text1"/>
                <w:szCs w:val="22"/>
              </w:rPr>
              <w:t xml:space="preserve"> do czasu przedłożenia rozliczeń</w:t>
            </w:r>
            <w:r w:rsidRPr="00951E3B">
              <w:rPr>
                <w:rFonts w:ascii="Arial" w:hAnsi="Arial" w:cs="Arial"/>
                <w:color w:val="000000" w:themeColor="text1"/>
                <w:szCs w:val="22"/>
              </w:rPr>
              <w:t>.</w:t>
            </w:r>
          </w:p>
          <w:p w14:paraId="51CAF7BE" w14:textId="2E564055" w:rsidR="00750596" w:rsidRPr="00951E3B" w:rsidRDefault="00750596" w:rsidP="00750596">
            <w:pPr>
              <w:pStyle w:val="H3"/>
              <w:rPr>
                <w:rFonts w:ascii="Arial" w:hAnsi="Arial" w:cs="Arial"/>
                <w:color w:val="000000" w:themeColor="text1"/>
                <w:szCs w:val="22"/>
              </w:rPr>
            </w:pPr>
            <w:r w:rsidRPr="00951E3B">
              <w:rPr>
                <w:rFonts w:ascii="Arial" w:hAnsi="Arial" w:cs="Arial"/>
                <w:color w:val="000000" w:themeColor="text1"/>
                <w:szCs w:val="22"/>
              </w:rPr>
              <w:t xml:space="preserve">W sytuacji uzyskania dopłat w nadmiernej wysokości, wypłata środków na kolejny </w:t>
            </w:r>
            <w:r w:rsidR="005F0F7F" w:rsidRPr="00951E3B">
              <w:rPr>
                <w:rFonts w:ascii="Arial" w:hAnsi="Arial" w:cs="Arial"/>
                <w:color w:val="000000" w:themeColor="text1"/>
                <w:szCs w:val="22"/>
              </w:rPr>
              <w:t xml:space="preserve">okres </w:t>
            </w:r>
            <w:r w:rsidRPr="00951E3B">
              <w:rPr>
                <w:rFonts w:ascii="Arial" w:hAnsi="Arial" w:cs="Arial"/>
                <w:color w:val="000000" w:themeColor="text1"/>
                <w:szCs w:val="22"/>
              </w:rPr>
              <w:t>zostanie odpowiednio pomniejszona, a jeśli nie będzie to możliwe – dopłata w tej części podlega</w:t>
            </w:r>
            <w:r w:rsidR="00E31517" w:rsidRPr="00951E3B">
              <w:rPr>
                <w:rFonts w:ascii="Arial" w:hAnsi="Arial" w:cs="Arial"/>
                <w:color w:val="000000" w:themeColor="text1"/>
                <w:szCs w:val="22"/>
              </w:rPr>
              <w:t>ć będzie</w:t>
            </w:r>
            <w:r w:rsidRPr="00951E3B">
              <w:rPr>
                <w:rFonts w:ascii="Arial" w:hAnsi="Arial" w:cs="Arial"/>
                <w:color w:val="000000" w:themeColor="text1"/>
                <w:szCs w:val="22"/>
              </w:rPr>
              <w:t xml:space="preserve"> zwrotowi</w:t>
            </w:r>
            <w:r w:rsidR="005067A7" w:rsidRPr="00951E3B">
              <w:rPr>
                <w:rFonts w:ascii="Arial" w:hAnsi="Arial" w:cs="Arial"/>
                <w:color w:val="000000" w:themeColor="text1"/>
                <w:szCs w:val="22"/>
              </w:rPr>
              <w:t xml:space="preserve"> do budżetu państwa</w:t>
            </w:r>
            <w:r w:rsidRPr="00951E3B">
              <w:rPr>
                <w:rFonts w:ascii="Arial" w:hAnsi="Arial" w:cs="Arial"/>
                <w:color w:val="000000" w:themeColor="text1"/>
                <w:szCs w:val="22"/>
              </w:rPr>
              <w:t xml:space="preserve">. </w:t>
            </w:r>
          </w:p>
        </w:tc>
      </w:tr>
    </w:tbl>
    <w:p w14:paraId="5EE1315F" w14:textId="77777777" w:rsidR="008F71C6" w:rsidRPr="00951E3B" w:rsidRDefault="008F71C6" w:rsidP="008F71C6">
      <w:pPr>
        <w:pStyle w:val="text1x"/>
        <w:rPr>
          <w:rFonts w:ascii="Arial" w:hAnsi="Arial" w:cs="Arial"/>
          <w:color w:val="000000" w:themeColor="text1"/>
          <w:lang w:eastAsia="pl-PL"/>
        </w:rPr>
      </w:pPr>
    </w:p>
    <w:sectPr w:rsidR="008F71C6" w:rsidRPr="00951E3B" w:rsidSect="00F42EFC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C6C2FB" w14:textId="77777777" w:rsidR="00A5783F" w:rsidRDefault="00A5783F" w:rsidP="00AC6D47">
      <w:pPr>
        <w:spacing w:after="0" w:line="240" w:lineRule="auto"/>
      </w:pPr>
      <w:r>
        <w:separator/>
      </w:r>
    </w:p>
  </w:endnote>
  <w:endnote w:type="continuationSeparator" w:id="0">
    <w:p w14:paraId="73CBCD96" w14:textId="77777777" w:rsidR="00A5783F" w:rsidRDefault="00A5783F" w:rsidP="00AC6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2708595"/>
      <w:docPartObj>
        <w:docPartGallery w:val="Page Numbers (Bottom of Page)"/>
        <w:docPartUnique/>
      </w:docPartObj>
    </w:sdtPr>
    <w:sdtEndPr/>
    <w:sdtContent>
      <w:p w14:paraId="3ABBC134" w14:textId="4DC5DDA9" w:rsidR="0003370A" w:rsidRDefault="0003370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1E3B">
          <w:rPr>
            <w:noProof/>
          </w:rPr>
          <w:t>10</w:t>
        </w:r>
        <w:r>
          <w:fldChar w:fldCharType="end"/>
        </w:r>
      </w:p>
    </w:sdtContent>
  </w:sdt>
  <w:p w14:paraId="2A5A6E59" w14:textId="77777777" w:rsidR="0003370A" w:rsidRDefault="000337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1F413B" w14:textId="77777777" w:rsidR="00A5783F" w:rsidRDefault="00A5783F" w:rsidP="00AC6D47">
      <w:pPr>
        <w:spacing w:after="0" w:line="240" w:lineRule="auto"/>
      </w:pPr>
      <w:r>
        <w:separator/>
      </w:r>
    </w:p>
  </w:footnote>
  <w:footnote w:type="continuationSeparator" w:id="0">
    <w:p w14:paraId="59E20CDD" w14:textId="77777777" w:rsidR="00A5783F" w:rsidRDefault="00A5783F" w:rsidP="00AC6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621E52" w14:textId="09B23A52" w:rsidR="005F0F7F" w:rsidRPr="002338BB" w:rsidRDefault="00576DED">
    <w:pPr>
      <w:pStyle w:val="Nagwek"/>
      <w:jc w:val="right"/>
      <w:rPr>
        <w:color w:val="FF0000"/>
      </w:rPr>
    </w:pPr>
    <w:r>
      <w:rPr>
        <w:color w:val="FF0000"/>
      </w:rPr>
      <w:t>PROJEKT_1</w:t>
    </w:r>
    <w:r w:rsidR="00CD6E6E">
      <w:rPr>
        <w:color w:val="FF0000"/>
      </w:rPr>
      <w:t>4</w:t>
    </w:r>
    <w:r w:rsidR="006F7014">
      <w:rPr>
        <w:color w:val="FF0000"/>
      </w:rPr>
      <w:t>_</w:t>
    </w:r>
    <w:r w:rsidR="00CD6E6E">
      <w:rPr>
        <w:color w:val="FF0000"/>
      </w:rPr>
      <w:t>26</w:t>
    </w:r>
    <w:r w:rsidR="00AF6FA5">
      <w:rPr>
        <w:color w:val="FF0000"/>
      </w:rPr>
      <w:t>04</w:t>
    </w:r>
    <w:r w:rsidR="002338BB" w:rsidRPr="002338BB">
      <w:rPr>
        <w:color w:val="FF0000"/>
      </w:rPr>
      <w:t>2021</w:t>
    </w:r>
  </w:p>
  <w:p w14:paraId="6FDB29A5" w14:textId="77777777" w:rsidR="005F0F7F" w:rsidRDefault="005F0F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53C7A"/>
    <w:multiLevelType w:val="hybridMultilevel"/>
    <w:tmpl w:val="5C709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86CF9"/>
    <w:multiLevelType w:val="hybridMultilevel"/>
    <w:tmpl w:val="C2943072"/>
    <w:lvl w:ilvl="0" w:tplc="0415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" w15:restartNumberingAfterBreak="0">
    <w:nsid w:val="1CE23B7E"/>
    <w:multiLevelType w:val="multilevel"/>
    <w:tmpl w:val="37FC3244"/>
    <w:lvl w:ilvl="0">
      <w:start w:val="1"/>
      <w:numFmt w:val="decimal"/>
      <w:lvlRestart w:val="0"/>
      <w:pStyle w:val="H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3"/>
      <w:lvlText w:val="%1.%2.%3"/>
      <w:lvlJc w:val="left"/>
      <w:pPr>
        <w:tabs>
          <w:tab w:val="num" w:pos="850"/>
        </w:tabs>
        <w:ind w:left="1417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68"/>
        </w:tabs>
        <w:ind w:left="2268" w:hanging="850"/>
      </w:pPr>
      <w:rPr>
        <w:rFonts w:hint="default"/>
      </w:rPr>
    </w:lvl>
    <w:lvl w:ilvl="4">
      <w:start w:val="1"/>
      <w:numFmt w:val="lowerLetter"/>
      <w:pStyle w:val="H5"/>
      <w:lvlText w:val="(%5)"/>
      <w:lvlJc w:val="left"/>
      <w:pPr>
        <w:tabs>
          <w:tab w:val="num" w:pos="1417"/>
        </w:tabs>
        <w:ind w:left="1417" w:hanging="850"/>
      </w:pPr>
      <w:rPr>
        <w:rFonts w:hint="default"/>
        <w:b w:val="0"/>
      </w:rPr>
    </w:lvl>
    <w:lvl w:ilvl="5">
      <w:start w:val="1"/>
      <w:numFmt w:val="lowerRoman"/>
      <w:pStyle w:val="H6"/>
      <w:lvlText w:val="(%6)"/>
      <w:lvlJc w:val="left"/>
      <w:pPr>
        <w:tabs>
          <w:tab w:val="num" w:pos="1417"/>
        </w:tabs>
        <w:ind w:left="1417" w:hanging="850"/>
      </w:pPr>
      <w:rPr>
        <w:rFonts w:hint="default"/>
      </w:rPr>
    </w:lvl>
    <w:lvl w:ilvl="6">
      <w:start w:val="1"/>
      <w:numFmt w:val="bullet"/>
      <w:lvlText w:val="–"/>
      <w:lvlJc w:val="left"/>
      <w:pPr>
        <w:tabs>
          <w:tab w:val="num" w:pos="1417"/>
        </w:tabs>
        <w:ind w:left="1417" w:hanging="85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B2744D2"/>
    <w:multiLevelType w:val="hybridMultilevel"/>
    <w:tmpl w:val="D7ECF58C"/>
    <w:lvl w:ilvl="0" w:tplc="0415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4" w15:restartNumberingAfterBreak="0">
    <w:nsid w:val="2F5214B3"/>
    <w:multiLevelType w:val="hybridMultilevel"/>
    <w:tmpl w:val="697898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5D473A0">
      <w:numFmt w:val="bullet"/>
      <w:lvlText w:val="•"/>
      <w:lvlJc w:val="left"/>
      <w:pPr>
        <w:ind w:left="1470" w:hanging="39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413B8F"/>
    <w:multiLevelType w:val="hybridMultilevel"/>
    <w:tmpl w:val="DA544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B41E2A"/>
    <w:multiLevelType w:val="hybridMultilevel"/>
    <w:tmpl w:val="08EA6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3D701B"/>
    <w:multiLevelType w:val="hybridMultilevel"/>
    <w:tmpl w:val="51AA4D1E"/>
    <w:lvl w:ilvl="0" w:tplc="A17ECD1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604D8D"/>
    <w:multiLevelType w:val="hybridMultilevel"/>
    <w:tmpl w:val="F11EBB3E"/>
    <w:lvl w:ilvl="0" w:tplc="D1F4F6CE">
      <w:start w:val="1"/>
      <w:numFmt w:val="lowerRoman"/>
      <w:lvlText w:val="(%1)"/>
      <w:lvlJc w:val="left"/>
      <w:pPr>
        <w:ind w:left="284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9" w15:restartNumberingAfterBreak="0">
    <w:nsid w:val="610B3D61"/>
    <w:multiLevelType w:val="hybridMultilevel"/>
    <w:tmpl w:val="8AB01D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956CDD"/>
    <w:multiLevelType w:val="hybridMultilevel"/>
    <w:tmpl w:val="8E88775E"/>
    <w:lvl w:ilvl="0" w:tplc="C262BA66">
      <w:start w:val="9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038762D"/>
    <w:multiLevelType w:val="hybridMultilevel"/>
    <w:tmpl w:val="D4508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497E70"/>
    <w:multiLevelType w:val="hybridMultilevel"/>
    <w:tmpl w:val="08EA6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506CA6"/>
    <w:multiLevelType w:val="hybridMultilevel"/>
    <w:tmpl w:val="D20E19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4"/>
  </w:num>
  <w:num w:numId="4">
    <w:abstractNumId w:val="12"/>
  </w:num>
  <w:num w:numId="5">
    <w:abstractNumId w:val="6"/>
  </w:num>
  <w:num w:numId="6">
    <w:abstractNumId w:val="9"/>
  </w:num>
  <w:num w:numId="7">
    <w:abstractNumId w:val="0"/>
  </w:num>
  <w:num w:numId="8">
    <w:abstractNumId w:val="1"/>
  </w:num>
  <w:num w:numId="9">
    <w:abstractNumId w:val="5"/>
  </w:num>
  <w:num w:numId="10">
    <w:abstractNumId w:val="3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7"/>
  </w:num>
  <w:num w:numId="30">
    <w:abstractNumId w:val="10"/>
  </w:num>
  <w:num w:numId="31">
    <w:abstractNumId w:val="2"/>
  </w:num>
  <w:num w:numId="32">
    <w:abstractNumId w:val="2"/>
  </w:num>
  <w:num w:numId="33">
    <w:abstractNumId w:val="2"/>
  </w:num>
  <w:num w:numId="34">
    <w:abstractNumId w:val="2"/>
  </w:num>
  <w:num w:numId="35">
    <w:abstractNumId w:val="2"/>
  </w:num>
  <w:num w:numId="36">
    <w:abstractNumId w:val="8"/>
  </w:num>
  <w:num w:numId="37">
    <w:abstractNumId w:val="2"/>
  </w:num>
  <w:num w:numId="38">
    <w:abstractNumId w:val="2"/>
  </w:num>
  <w:num w:numId="39">
    <w:abstractNumId w:val="2"/>
  </w:num>
  <w:num w:numId="40">
    <w:abstractNumId w:val="2"/>
  </w:num>
  <w:num w:numId="41">
    <w:abstractNumId w:val="2"/>
  </w:num>
  <w:num w:numId="42">
    <w:abstractNumId w:val="2"/>
  </w:num>
  <w:num w:numId="43">
    <w:abstractNumId w:val="2"/>
  </w:num>
  <w:num w:numId="44">
    <w:abstractNumId w:val="2"/>
  </w:num>
  <w:num w:numId="45">
    <w:abstractNumId w:val="2"/>
  </w:num>
  <w:num w:numId="46">
    <w:abstractNumId w:val="2"/>
  </w:num>
  <w:num w:numId="47">
    <w:abstractNumId w:val="2"/>
  </w:num>
  <w:num w:numId="4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yMDAwsTAxMDc0N7FQ0lEKTi0uzszPAykwrAUAuaeogiwAAAA="/>
  </w:docVars>
  <w:rsids>
    <w:rsidRoot w:val="008F71C6"/>
    <w:rsid w:val="00011A1F"/>
    <w:rsid w:val="0001734F"/>
    <w:rsid w:val="000204BF"/>
    <w:rsid w:val="00026DB7"/>
    <w:rsid w:val="00027918"/>
    <w:rsid w:val="00027C93"/>
    <w:rsid w:val="0003370A"/>
    <w:rsid w:val="00041917"/>
    <w:rsid w:val="000543CD"/>
    <w:rsid w:val="00066990"/>
    <w:rsid w:val="00070209"/>
    <w:rsid w:val="00071218"/>
    <w:rsid w:val="000763CB"/>
    <w:rsid w:val="000861D5"/>
    <w:rsid w:val="00086C42"/>
    <w:rsid w:val="00087F09"/>
    <w:rsid w:val="00091161"/>
    <w:rsid w:val="0009390A"/>
    <w:rsid w:val="000A09F7"/>
    <w:rsid w:val="000A15F9"/>
    <w:rsid w:val="000A52BD"/>
    <w:rsid w:val="000A5F17"/>
    <w:rsid w:val="000A7AC8"/>
    <w:rsid w:val="000B5F10"/>
    <w:rsid w:val="000E1882"/>
    <w:rsid w:val="000E57EE"/>
    <w:rsid w:val="000E7D92"/>
    <w:rsid w:val="0010248E"/>
    <w:rsid w:val="0010317C"/>
    <w:rsid w:val="00104D03"/>
    <w:rsid w:val="00105ACB"/>
    <w:rsid w:val="00111F6F"/>
    <w:rsid w:val="00122D30"/>
    <w:rsid w:val="00135E26"/>
    <w:rsid w:val="00143551"/>
    <w:rsid w:val="00143DA2"/>
    <w:rsid w:val="001449B5"/>
    <w:rsid w:val="00144FAB"/>
    <w:rsid w:val="0014746B"/>
    <w:rsid w:val="00153EBC"/>
    <w:rsid w:val="00157C99"/>
    <w:rsid w:val="001708C1"/>
    <w:rsid w:val="00187DA0"/>
    <w:rsid w:val="00191E2F"/>
    <w:rsid w:val="001954C1"/>
    <w:rsid w:val="001B1069"/>
    <w:rsid w:val="001B173C"/>
    <w:rsid w:val="001B2CF3"/>
    <w:rsid w:val="001B4283"/>
    <w:rsid w:val="001B58CA"/>
    <w:rsid w:val="001E555E"/>
    <w:rsid w:val="001E7311"/>
    <w:rsid w:val="00200444"/>
    <w:rsid w:val="00204E92"/>
    <w:rsid w:val="00214A36"/>
    <w:rsid w:val="002338BB"/>
    <w:rsid w:val="0023788F"/>
    <w:rsid w:val="00247D9B"/>
    <w:rsid w:val="00255097"/>
    <w:rsid w:val="00265502"/>
    <w:rsid w:val="002808DC"/>
    <w:rsid w:val="0028512D"/>
    <w:rsid w:val="002A12E2"/>
    <w:rsid w:val="002B1547"/>
    <w:rsid w:val="002F6C7F"/>
    <w:rsid w:val="00303A9B"/>
    <w:rsid w:val="003126E4"/>
    <w:rsid w:val="00314F8E"/>
    <w:rsid w:val="00315560"/>
    <w:rsid w:val="003309B9"/>
    <w:rsid w:val="0033517D"/>
    <w:rsid w:val="0034523E"/>
    <w:rsid w:val="003508EB"/>
    <w:rsid w:val="0035285B"/>
    <w:rsid w:val="0036469F"/>
    <w:rsid w:val="00364EC4"/>
    <w:rsid w:val="003720CC"/>
    <w:rsid w:val="00374062"/>
    <w:rsid w:val="00374BA8"/>
    <w:rsid w:val="00385078"/>
    <w:rsid w:val="00393D78"/>
    <w:rsid w:val="00394152"/>
    <w:rsid w:val="00396068"/>
    <w:rsid w:val="003A0D42"/>
    <w:rsid w:val="003C2111"/>
    <w:rsid w:val="003D41EE"/>
    <w:rsid w:val="003E2154"/>
    <w:rsid w:val="003E744C"/>
    <w:rsid w:val="003F4432"/>
    <w:rsid w:val="003F4579"/>
    <w:rsid w:val="003F500E"/>
    <w:rsid w:val="003F5E7A"/>
    <w:rsid w:val="004137F0"/>
    <w:rsid w:val="00417E39"/>
    <w:rsid w:val="00420043"/>
    <w:rsid w:val="0042005C"/>
    <w:rsid w:val="00421EE2"/>
    <w:rsid w:val="00457A92"/>
    <w:rsid w:val="004641D7"/>
    <w:rsid w:val="0047216C"/>
    <w:rsid w:val="00472FF7"/>
    <w:rsid w:val="00474835"/>
    <w:rsid w:val="00474E42"/>
    <w:rsid w:val="004C4993"/>
    <w:rsid w:val="004D0496"/>
    <w:rsid w:val="004E6015"/>
    <w:rsid w:val="004F7997"/>
    <w:rsid w:val="00505E30"/>
    <w:rsid w:val="005067A7"/>
    <w:rsid w:val="00511251"/>
    <w:rsid w:val="00511AD9"/>
    <w:rsid w:val="005165B9"/>
    <w:rsid w:val="00520044"/>
    <w:rsid w:val="005231FB"/>
    <w:rsid w:val="00531D0A"/>
    <w:rsid w:val="00537D0E"/>
    <w:rsid w:val="00544AF4"/>
    <w:rsid w:val="005528CA"/>
    <w:rsid w:val="00561B07"/>
    <w:rsid w:val="0056286B"/>
    <w:rsid w:val="00563D80"/>
    <w:rsid w:val="0057147A"/>
    <w:rsid w:val="0057312D"/>
    <w:rsid w:val="00575973"/>
    <w:rsid w:val="00576DED"/>
    <w:rsid w:val="00581E36"/>
    <w:rsid w:val="00586B07"/>
    <w:rsid w:val="00587AE4"/>
    <w:rsid w:val="005A2350"/>
    <w:rsid w:val="005A36CE"/>
    <w:rsid w:val="005B129B"/>
    <w:rsid w:val="005B315D"/>
    <w:rsid w:val="005C3704"/>
    <w:rsid w:val="005C4A8C"/>
    <w:rsid w:val="005D2180"/>
    <w:rsid w:val="005D3691"/>
    <w:rsid w:val="005D7CD5"/>
    <w:rsid w:val="005E100C"/>
    <w:rsid w:val="005E3D32"/>
    <w:rsid w:val="005E69A8"/>
    <w:rsid w:val="005F0211"/>
    <w:rsid w:val="005F0F7F"/>
    <w:rsid w:val="005F493A"/>
    <w:rsid w:val="00600B9D"/>
    <w:rsid w:val="00603127"/>
    <w:rsid w:val="00610B9F"/>
    <w:rsid w:val="006151D1"/>
    <w:rsid w:val="00616EDF"/>
    <w:rsid w:val="00617D58"/>
    <w:rsid w:val="00621873"/>
    <w:rsid w:val="006366E4"/>
    <w:rsid w:val="0064315A"/>
    <w:rsid w:val="006502E7"/>
    <w:rsid w:val="006511CE"/>
    <w:rsid w:val="006570C3"/>
    <w:rsid w:val="00661859"/>
    <w:rsid w:val="00663484"/>
    <w:rsid w:val="00675F51"/>
    <w:rsid w:val="006929E1"/>
    <w:rsid w:val="00695699"/>
    <w:rsid w:val="006B2F1D"/>
    <w:rsid w:val="006B6002"/>
    <w:rsid w:val="006B7734"/>
    <w:rsid w:val="006D6860"/>
    <w:rsid w:val="006E2EA0"/>
    <w:rsid w:val="006E7BE1"/>
    <w:rsid w:val="006E7D86"/>
    <w:rsid w:val="006F42CD"/>
    <w:rsid w:val="006F47D0"/>
    <w:rsid w:val="006F47D7"/>
    <w:rsid w:val="006F7014"/>
    <w:rsid w:val="00704A41"/>
    <w:rsid w:val="0071693D"/>
    <w:rsid w:val="007272C8"/>
    <w:rsid w:val="007276E2"/>
    <w:rsid w:val="007323AF"/>
    <w:rsid w:val="007336AE"/>
    <w:rsid w:val="00740136"/>
    <w:rsid w:val="00744BB5"/>
    <w:rsid w:val="00750596"/>
    <w:rsid w:val="00753CD2"/>
    <w:rsid w:val="00754C26"/>
    <w:rsid w:val="007656BB"/>
    <w:rsid w:val="00771535"/>
    <w:rsid w:val="0077583B"/>
    <w:rsid w:val="00780F84"/>
    <w:rsid w:val="00795CE6"/>
    <w:rsid w:val="007A24F3"/>
    <w:rsid w:val="007A724F"/>
    <w:rsid w:val="007D1402"/>
    <w:rsid w:val="007D3E3D"/>
    <w:rsid w:val="007E64B9"/>
    <w:rsid w:val="007F00E8"/>
    <w:rsid w:val="007F30AA"/>
    <w:rsid w:val="00801670"/>
    <w:rsid w:val="0081086E"/>
    <w:rsid w:val="0081538C"/>
    <w:rsid w:val="00825883"/>
    <w:rsid w:val="00832992"/>
    <w:rsid w:val="00851293"/>
    <w:rsid w:val="00852A46"/>
    <w:rsid w:val="00856E8A"/>
    <w:rsid w:val="00865031"/>
    <w:rsid w:val="00870012"/>
    <w:rsid w:val="00870BAA"/>
    <w:rsid w:val="0087143E"/>
    <w:rsid w:val="008779A3"/>
    <w:rsid w:val="00886DC3"/>
    <w:rsid w:val="0089587E"/>
    <w:rsid w:val="008A3155"/>
    <w:rsid w:val="008A62B8"/>
    <w:rsid w:val="008B1E84"/>
    <w:rsid w:val="008B46D0"/>
    <w:rsid w:val="008F38F0"/>
    <w:rsid w:val="008F71C6"/>
    <w:rsid w:val="009017AC"/>
    <w:rsid w:val="0090452E"/>
    <w:rsid w:val="009049A9"/>
    <w:rsid w:val="0090526D"/>
    <w:rsid w:val="00910CA0"/>
    <w:rsid w:val="00920B05"/>
    <w:rsid w:val="00927337"/>
    <w:rsid w:val="009309B7"/>
    <w:rsid w:val="00933ED2"/>
    <w:rsid w:val="009407F1"/>
    <w:rsid w:val="00941B4F"/>
    <w:rsid w:val="0094215E"/>
    <w:rsid w:val="00951939"/>
    <w:rsid w:val="00951E3B"/>
    <w:rsid w:val="00956FC6"/>
    <w:rsid w:val="00963BAB"/>
    <w:rsid w:val="009722C4"/>
    <w:rsid w:val="00985F30"/>
    <w:rsid w:val="009A0CFB"/>
    <w:rsid w:val="009B714A"/>
    <w:rsid w:val="009C689A"/>
    <w:rsid w:val="009D1FB1"/>
    <w:rsid w:val="009F0B08"/>
    <w:rsid w:val="009F1DA8"/>
    <w:rsid w:val="009F2591"/>
    <w:rsid w:val="009F2FA9"/>
    <w:rsid w:val="00A04842"/>
    <w:rsid w:val="00A42579"/>
    <w:rsid w:val="00A50B70"/>
    <w:rsid w:val="00A5783F"/>
    <w:rsid w:val="00A61C00"/>
    <w:rsid w:val="00A665D3"/>
    <w:rsid w:val="00A67BBA"/>
    <w:rsid w:val="00A705FD"/>
    <w:rsid w:val="00A7291E"/>
    <w:rsid w:val="00A7792F"/>
    <w:rsid w:val="00A83C14"/>
    <w:rsid w:val="00A84A77"/>
    <w:rsid w:val="00AA75C4"/>
    <w:rsid w:val="00AA772A"/>
    <w:rsid w:val="00AB5B02"/>
    <w:rsid w:val="00AB5BF0"/>
    <w:rsid w:val="00AC6D47"/>
    <w:rsid w:val="00AD0FA7"/>
    <w:rsid w:val="00AD18B9"/>
    <w:rsid w:val="00AE61F3"/>
    <w:rsid w:val="00AF6FA5"/>
    <w:rsid w:val="00B04411"/>
    <w:rsid w:val="00B078FD"/>
    <w:rsid w:val="00B07A37"/>
    <w:rsid w:val="00B13E70"/>
    <w:rsid w:val="00B1582D"/>
    <w:rsid w:val="00B16370"/>
    <w:rsid w:val="00B26449"/>
    <w:rsid w:val="00B42788"/>
    <w:rsid w:val="00B50761"/>
    <w:rsid w:val="00B51315"/>
    <w:rsid w:val="00B700BB"/>
    <w:rsid w:val="00B875A9"/>
    <w:rsid w:val="00BA0BED"/>
    <w:rsid w:val="00BA15EE"/>
    <w:rsid w:val="00BA4E81"/>
    <w:rsid w:val="00BA6221"/>
    <w:rsid w:val="00BA7125"/>
    <w:rsid w:val="00BB0A96"/>
    <w:rsid w:val="00BB1717"/>
    <w:rsid w:val="00BB44F8"/>
    <w:rsid w:val="00BC7DEB"/>
    <w:rsid w:val="00BC7EC0"/>
    <w:rsid w:val="00BE1798"/>
    <w:rsid w:val="00BE2C6E"/>
    <w:rsid w:val="00BE70A4"/>
    <w:rsid w:val="00BF5BC1"/>
    <w:rsid w:val="00BF6632"/>
    <w:rsid w:val="00C01B45"/>
    <w:rsid w:val="00C1209D"/>
    <w:rsid w:val="00C12BDE"/>
    <w:rsid w:val="00C160B7"/>
    <w:rsid w:val="00C34112"/>
    <w:rsid w:val="00C52155"/>
    <w:rsid w:val="00C6218D"/>
    <w:rsid w:val="00C81BA3"/>
    <w:rsid w:val="00C82243"/>
    <w:rsid w:val="00C8368E"/>
    <w:rsid w:val="00C866E8"/>
    <w:rsid w:val="00C93725"/>
    <w:rsid w:val="00CA1036"/>
    <w:rsid w:val="00CB424E"/>
    <w:rsid w:val="00CC407F"/>
    <w:rsid w:val="00CD6E6E"/>
    <w:rsid w:val="00CD769B"/>
    <w:rsid w:val="00CF5186"/>
    <w:rsid w:val="00CF700B"/>
    <w:rsid w:val="00D17068"/>
    <w:rsid w:val="00D22CA0"/>
    <w:rsid w:val="00D26B72"/>
    <w:rsid w:val="00D42822"/>
    <w:rsid w:val="00D44649"/>
    <w:rsid w:val="00D47E6A"/>
    <w:rsid w:val="00D5395F"/>
    <w:rsid w:val="00D61D85"/>
    <w:rsid w:val="00D672A8"/>
    <w:rsid w:val="00D71C56"/>
    <w:rsid w:val="00D72650"/>
    <w:rsid w:val="00DA60C1"/>
    <w:rsid w:val="00DB1E4F"/>
    <w:rsid w:val="00DC2E5C"/>
    <w:rsid w:val="00DC4DA5"/>
    <w:rsid w:val="00DD118D"/>
    <w:rsid w:val="00DD4FF6"/>
    <w:rsid w:val="00DD5B44"/>
    <w:rsid w:val="00DD6C85"/>
    <w:rsid w:val="00DE1D59"/>
    <w:rsid w:val="00DE5C32"/>
    <w:rsid w:val="00E005D7"/>
    <w:rsid w:val="00E04EE5"/>
    <w:rsid w:val="00E205C6"/>
    <w:rsid w:val="00E212DA"/>
    <w:rsid w:val="00E26B48"/>
    <w:rsid w:val="00E301EB"/>
    <w:rsid w:val="00E31517"/>
    <w:rsid w:val="00E32EC3"/>
    <w:rsid w:val="00E33EA9"/>
    <w:rsid w:val="00E35DE8"/>
    <w:rsid w:val="00E40F9F"/>
    <w:rsid w:val="00E4107F"/>
    <w:rsid w:val="00E41E21"/>
    <w:rsid w:val="00E428B7"/>
    <w:rsid w:val="00E468B4"/>
    <w:rsid w:val="00E52E14"/>
    <w:rsid w:val="00E5335D"/>
    <w:rsid w:val="00E57AC3"/>
    <w:rsid w:val="00E61EDC"/>
    <w:rsid w:val="00E62F83"/>
    <w:rsid w:val="00E7126B"/>
    <w:rsid w:val="00E804B2"/>
    <w:rsid w:val="00E970C7"/>
    <w:rsid w:val="00EA5F89"/>
    <w:rsid w:val="00EA64B5"/>
    <w:rsid w:val="00EC0732"/>
    <w:rsid w:val="00ED6853"/>
    <w:rsid w:val="00EE000C"/>
    <w:rsid w:val="00EF19C4"/>
    <w:rsid w:val="00EF3F4C"/>
    <w:rsid w:val="00EF4716"/>
    <w:rsid w:val="00EF5EBD"/>
    <w:rsid w:val="00EF78FF"/>
    <w:rsid w:val="00F006E2"/>
    <w:rsid w:val="00F058C8"/>
    <w:rsid w:val="00F06A9C"/>
    <w:rsid w:val="00F16ACB"/>
    <w:rsid w:val="00F20A69"/>
    <w:rsid w:val="00F32F14"/>
    <w:rsid w:val="00F35AC9"/>
    <w:rsid w:val="00F35FF4"/>
    <w:rsid w:val="00F42EFC"/>
    <w:rsid w:val="00F65CDD"/>
    <w:rsid w:val="00F676E6"/>
    <w:rsid w:val="00F81DDF"/>
    <w:rsid w:val="00F83586"/>
    <w:rsid w:val="00F96E0A"/>
    <w:rsid w:val="00FA272A"/>
    <w:rsid w:val="00FA5DC1"/>
    <w:rsid w:val="00FB27F2"/>
    <w:rsid w:val="00FB6F23"/>
    <w:rsid w:val="00FC053C"/>
    <w:rsid w:val="00FD53BD"/>
    <w:rsid w:val="00FF2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C63048"/>
  <w15:chartTrackingRefBased/>
  <w15:docId w15:val="{31C72746-64F7-4B07-BA7D-7D5B9800A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1">
    <w:name w:val="Normal1"/>
    <w:rsid w:val="00DA60C1"/>
    <w:pPr>
      <w:spacing w:before="120" w:after="120" w:line="288" w:lineRule="auto"/>
      <w:jc w:val="both"/>
    </w:pPr>
    <w:rPr>
      <w:rFonts w:ascii="Calibri" w:eastAsia="Calibri" w:hAnsi="Calibri" w:cs="Times New Roman"/>
      <w:color w:val="000000"/>
    </w:rPr>
  </w:style>
  <w:style w:type="paragraph" w:customStyle="1" w:styleId="text1x">
    <w:name w:val="text 1.x"/>
    <w:basedOn w:val="text1"/>
    <w:rsid w:val="00D26B72"/>
  </w:style>
  <w:style w:type="paragraph" w:customStyle="1" w:styleId="H2">
    <w:name w:val="H2"/>
    <w:basedOn w:val="Normal1"/>
    <w:next w:val="text1x"/>
    <w:locked/>
    <w:rsid w:val="00D26B72"/>
    <w:pPr>
      <w:numPr>
        <w:ilvl w:val="1"/>
        <w:numId w:val="28"/>
      </w:numPr>
      <w:suppressAutoHyphens/>
      <w:outlineLvl w:val="1"/>
    </w:pPr>
    <w:rPr>
      <w:rFonts w:eastAsia="Times New Roman"/>
      <w:szCs w:val="24"/>
      <w:lang w:eastAsia="pl-PL"/>
    </w:rPr>
  </w:style>
  <w:style w:type="table" w:styleId="Tabela-Siatka">
    <w:name w:val="Table Grid"/>
    <w:basedOn w:val="Standardowy"/>
    <w:uiPriority w:val="39"/>
    <w:rsid w:val="008F7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F71C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C6D4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C6D4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C6D47"/>
    <w:rPr>
      <w:vertAlign w:val="superscript"/>
    </w:rPr>
  </w:style>
  <w:style w:type="paragraph" w:customStyle="1" w:styleId="text1xx">
    <w:name w:val="text 1.xx"/>
    <w:basedOn w:val="text1"/>
    <w:rsid w:val="00750596"/>
    <w:pPr>
      <w:ind w:left="1418"/>
    </w:pPr>
  </w:style>
  <w:style w:type="paragraph" w:customStyle="1" w:styleId="H3">
    <w:name w:val="H3"/>
    <w:basedOn w:val="Normal1"/>
    <w:next w:val="text1xx"/>
    <w:locked/>
    <w:rsid w:val="00750596"/>
    <w:pPr>
      <w:numPr>
        <w:ilvl w:val="2"/>
        <w:numId w:val="28"/>
      </w:numPr>
      <w:tabs>
        <w:tab w:val="left" w:pos="1418"/>
      </w:tabs>
      <w:suppressAutoHyphens/>
      <w:outlineLvl w:val="2"/>
    </w:pPr>
    <w:rPr>
      <w:rFonts w:eastAsia="Times New Roman"/>
      <w:szCs w:val="24"/>
      <w:lang w:eastAsia="pl-PL"/>
    </w:rPr>
  </w:style>
  <w:style w:type="paragraph" w:customStyle="1" w:styleId="text1">
    <w:name w:val="text 1"/>
    <w:basedOn w:val="Normal1"/>
    <w:rsid w:val="00070209"/>
    <w:pPr>
      <w:ind w:left="567"/>
    </w:pPr>
  </w:style>
  <w:style w:type="paragraph" w:customStyle="1" w:styleId="H1">
    <w:name w:val="H1"/>
    <w:basedOn w:val="Normal1"/>
    <w:next w:val="text1"/>
    <w:locked/>
    <w:rsid w:val="00070209"/>
    <w:pPr>
      <w:keepNext/>
      <w:keepLines/>
      <w:numPr>
        <w:numId w:val="28"/>
      </w:numPr>
      <w:suppressAutoHyphens/>
      <w:outlineLvl w:val="0"/>
    </w:pPr>
    <w:rPr>
      <w:rFonts w:eastAsia="Times New Roman"/>
      <w:b/>
      <w:caps/>
      <w:szCs w:val="21"/>
      <w:lang w:eastAsia="pl-PL"/>
    </w:rPr>
  </w:style>
  <w:style w:type="paragraph" w:customStyle="1" w:styleId="H5">
    <w:name w:val="H5"/>
    <w:basedOn w:val="Normal1"/>
    <w:rsid w:val="00DA60C1"/>
    <w:pPr>
      <w:numPr>
        <w:ilvl w:val="4"/>
        <w:numId w:val="28"/>
      </w:numPr>
      <w:tabs>
        <w:tab w:val="left" w:pos="2268"/>
        <w:tab w:val="left" w:pos="3119"/>
      </w:tabs>
      <w:outlineLvl w:val="4"/>
    </w:pPr>
    <w:rPr>
      <w:rFonts w:eastAsia="Times New Roman"/>
      <w:szCs w:val="24"/>
      <w:lang w:eastAsia="pl-PL"/>
    </w:rPr>
  </w:style>
  <w:style w:type="paragraph" w:customStyle="1" w:styleId="H6">
    <w:name w:val="H6"/>
    <w:basedOn w:val="Normal1"/>
    <w:rsid w:val="005F0F7F"/>
    <w:pPr>
      <w:numPr>
        <w:ilvl w:val="5"/>
        <w:numId w:val="28"/>
      </w:numPr>
      <w:tabs>
        <w:tab w:val="left" w:pos="2268"/>
        <w:tab w:val="left" w:pos="3119"/>
      </w:tabs>
      <w:outlineLvl w:val="5"/>
    </w:pPr>
    <w:rPr>
      <w:rFonts w:eastAsia="Times New Roman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14F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4F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4F8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4F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4F8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4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F8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F0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0F7F"/>
  </w:style>
  <w:style w:type="paragraph" w:styleId="Stopka">
    <w:name w:val="footer"/>
    <w:basedOn w:val="Normalny"/>
    <w:link w:val="StopkaZnak"/>
    <w:uiPriority w:val="99"/>
    <w:unhideWhenUsed/>
    <w:rsid w:val="005F0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0F7F"/>
  </w:style>
  <w:style w:type="paragraph" w:styleId="Poprawka">
    <w:name w:val="Revision"/>
    <w:hidden/>
    <w:uiPriority w:val="99"/>
    <w:semiHidden/>
    <w:rsid w:val="00E468B4"/>
    <w:pPr>
      <w:spacing w:after="0" w:line="240" w:lineRule="auto"/>
    </w:pPr>
  </w:style>
  <w:style w:type="paragraph" w:customStyle="1" w:styleId="H4">
    <w:name w:val="H4"/>
    <w:basedOn w:val="Normalny"/>
    <w:next w:val="Normalny"/>
    <w:locked/>
    <w:rsid w:val="003F500E"/>
    <w:pPr>
      <w:tabs>
        <w:tab w:val="num" w:pos="2268"/>
      </w:tabs>
      <w:suppressAutoHyphens/>
      <w:spacing w:before="120" w:after="120" w:line="288" w:lineRule="auto"/>
      <w:ind w:left="2268" w:hanging="850"/>
      <w:jc w:val="both"/>
      <w:outlineLvl w:val="3"/>
    </w:pPr>
    <w:rPr>
      <w:rFonts w:ascii="Calibri" w:eastAsia="Times New Roman" w:hAnsi="Calibri" w:cs="Times New Roman"/>
      <w:color w:val="00000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9579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38715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6031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776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9024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81211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504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3540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1829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6500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7542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4258">
          <w:marLeft w:val="99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1100">
          <w:marLeft w:val="99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5860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4337">
          <w:marLeft w:val="99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59481">
          <w:marLeft w:val="99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8035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73048">
          <w:marLeft w:val="99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5336">
          <w:marLeft w:val="99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2572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5709">
          <w:marLeft w:val="99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576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71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22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06776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6204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4978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6362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3661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447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94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19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27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915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1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56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91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88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5985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7296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6054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9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5949">
          <w:marLeft w:val="36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7345">
          <w:marLeft w:val="108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4128">
          <w:marLeft w:val="108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9634">
          <w:marLeft w:val="108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4030">
          <w:marLeft w:val="7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8750">
          <w:marLeft w:val="7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5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668540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2429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1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7768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40201">
          <w:marLeft w:val="99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2147">
          <w:marLeft w:val="99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39271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2358">
          <w:marLeft w:val="99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6555">
          <w:marLeft w:val="99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7010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8000">
          <w:marLeft w:val="99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5962">
          <w:marLeft w:val="99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0985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5005">
          <w:marLeft w:val="99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0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7660">
          <w:marLeft w:val="36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98076">
          <w:marLeft w:val="108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8223">
          <w:marLeft w:val="108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6069">
          <w:marLeft w:val="108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9687">
          <w:marLeft w:val="108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2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428208">
          <w:marLeft w:val="36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7174">
          <w:marLeft w:val="36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2959">
          <w:marLeft w:val="36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4690">
          <w:marLeft w:val="36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8AA8D-7CDD-4AD6-9C61-75C74DE53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2976</Words>
  <Characters>17858</Characters>
  <Application>Microsoft Office Word</Application>
  <DocSecurity>0</DocSecurity>
  <Lines>148</Lines>
  <Paragraphs>41</Paragraphs>
  <ScaleCrop>false</ScaleCrop>
  <Company>DZP</Company>
  <LinksUpToDate>false</LinksUpToDate>
  <CharactersWithSpaces>20793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DZP</dc:creator>
  <cp:lastModifiedBy>Drabek Jonasz</cp:lastModifiedBy>
  <cp:revision>4</cp:revision>
  <cp:lastPrinted>2021-04-26T10:29:00Z</cp:lastPrinted>
  <dcterms:created xsi:type="dcterms:W3CDTF">2021-04-26T10:29:00Z</dcterms:created>
  <dcterms:modified xsi:type="dcterms:W3CDTF">2021-04-26T11:59:00Z</dcterms:modified>
</cp:coreProperties>
</file>